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DBB5">
      <w:pPr>
        <w:spacing w:after="160"/>
        <w:jc w:val="center"/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Table S3</w:t>
      </w:r>
      <w:r>
        <w:rPr>
          <w:rFonts w:hint="default" w:ascii="Minion Pro" w:hAnsi="Minion Pro" w:cs="Minion Pro" w:eastAsiaTheme="minorEastAsia"/>
          <w:kern w:val="2"/>
          <w:sz w:val="22"/>
          <w:szCs w:val="22"/>
          <w:lang w:val="en-AU"/>
          <w14:ligatures w14:val="standardContextual"/>
        </w:rPr>
        <w:t>.</w:t>
      </w: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 Comparative summary of BCMA-targeted ADCs</w:t>
      </w:r>
    </w:p>
    <w:tbl>
      <w:tblPr>
        <w:tblStyle w:val="4"/>
        <w:tblW w:w="11624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2477"/>
        <w:gridCol w:w="2510"/>
        <w:gridCol w:w="2735"/>
        <w:gridCol w:w="2268"/>
      </w:tblGrid>
      <w:tr w14:paraId="48C97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4" w:type="dxa"/>
            <w:vAlign w:val="center"/>
          </w:tcPr>
          <w:p w14:paraId="4B41E561">
            <w:pPr>
              <w:spacing w:before="100" w:beforeAutospacing="1" w:after="100" w:afterAutospacing="1"/>
              <w:rPr>
                <w:rFonts w:hint="default" w:ascii="Minion Pro" w:hAnsi="Minion Pro" w:cs="Minion Pro" w:eastAsiaTheme="minorEastAsia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Payload class</w:t>
            </w:r>
          </w:p>
        </w:tc>
        <w:tc>
          <w:tcPr>
            <w:tcW w:w="2477" w:type="dxa"/>
            <w:vAlign w:val="center"/>
          </w:tcPr>
          <w:p w14:paraId="3A098FBB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Molar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equivalent dosing and safety </w:t>
            </w:r>
          </w:p>
        </w:tc>
        <w:tc>
          <w:tcPr>
            <w:tcW w:w="2510" w:type="dxa"/>
            <w:vAlign w:val="center"/>
          </w:tcPr>
          <w:p w14:paraId="1BDBDC71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Antigen density / BCMA expression</w:t>
            </w:r>
          </w:p>
        </w:tc>
        <w:tc>
          <w:tcPr>
            <w:tcW w:w="2735" w:type="dxa"/>
            <w:vAlign w:val="center"/>
          </w:tcPr>
          <w:p w14:paraId="5CA496EB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Clinical outcome (key trials)</w:t>
            </w:r>
          </w:p>
        </w:tc>
        <w:tc>
          <w:tcPr>
            <w:tcW w:w="2268" w:type="dxa"/>
            <w:vAlign w:val="center"/>
          </w:tcPr>
          <w:p w14:paraId="313E943B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Comparative insights/trends</w:t>
            </w:r>
          </w:p>
        </w:tc>
      </w:tr>
      <w:tr w14:paraId="69EF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4" w:type="dxa"/>
            <w:vAlign w:val="center"/>
          </w:tcPr>
          <w:p w14:paraId="1AC3353E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Microtubule inhibitor (auristatin F)</w:t>
            </w:r>
          </w:p>
        </w:tc>
        <w:tc>
          <w:tcPr>
            <w:tcW w:w="2477" w:type="dxa"/>
            <w:vAlign w:val="center"/>
          </w:tcPr>
          <w:p w14:paraId="4DDE5195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Dosed by mg/kg across studies (e.g., 2.5 or 3.4 mg/kg Q3W; combinations include 2.5 mg/kg Q3W and 2.5 mg/kg Q8W). Exposure was not normalized across programs (DAR/exposure not consistently reported). DLTs: none identified in Phase I dose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escalation; no DLTs reported in 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6.</w:t>
            </w:r>
          </w:p>
        </w:tc>
        <w:tc>
          <w:tcPr>
            <w:tcW w:w="2510" w:type="dxa"/>
            <w:vAlign w:val="center"/>
          </w:tcPr>
          <w:p w14:paraId="64EC9499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BCMA surface density is a key determinant of internalization; increasing membrane BCMA via γ-secretase inhibition is being tested in 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5 to enhance engagement.</w:t>
            </w:r>
          </w:p>
        </w:tc>
        <w:tc>
          <w:tcPr>
            <w:tcW w:w="2735" w:type="dxa"/>
            <w:vAlign w:val="center"/>
          </w:tcPr>
          <w:p w14:paraId="630D98C2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Monotherapy: ORR 32–60%, median PFS 2.8–12.0 mo (DREAMM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1/2); Final 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2: ORR 32–35%, PFS 2.8–3.9 mo, frequent dose modifications. Combinations: BVd (DREAMM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7) ORR 83%, PFS 36.6 mo vs 13.4 mo; Bela + Len/Dex (DREAMM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6) ORR 67%, PFS 18.4 mo; Bela + Pom/Dex (DREAMM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8) ORR 85.3%, PFS not reached at RP2D (Q8W). Major AEs: keratopathy ~51–96% (Grade ≥3 ~18–53%), Grade ≥3 thrombocytopenia 22–57%, anaemia 16–28%.  </w:t>
            </w:r>
          </w:p>
        </w:tc>
        <w:tc>
          <w:tcPr>
            <w:tcW w:w="2268" w:type="dxa"/>
            <w:vAlign w:val="center"/>
          </w:tcPr>
          <w:p w14:paraId="1BAA28E4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Strongest evidence base: ocular toxicity (keratopathy) is class-defining for MMAF ADCs; longer intervals (Q8W/Q12W) can mitigate ocular events while maintaining activity; PI/IMiD backbones yield the largest efficacy gains vs monotherapy.  </w:t>
            </w:r>
          </w:p>
        </w:tc>
      </w:tr>
      <w:tr w14:paraId="20017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4" w:type="dxa"/>
            <w:vAlign w:val="center"/>
          </w:tcPr>
          <w:p w14:paraId="50D1558D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DNA-damaging PBD dimer (tesirine)</w:t>
            </w:r>
          </w:p>
        </w:tc>
        <w:tc>
          <w:tcPr>
            <w:tcW w:w="2477" w:type="dxa"/>
            <w:vAlign w:val="center"/>
          </w:tcPr>
          <w:p w14:paraId="09CBDD57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0.14 mg/kg Q3W MTD; additional Q6W cohort. Exposure normalization not reported; safety dominated by ocular symptoms and cytopenias.</w:t>
            </w:r>
          </w:p>
        </w:tc>
        <w:tc>
          <w:tcPr>
            <w:tcW w:w="2510" w:type="dxa"/>
            <w:vAlign w:val="center"/>
          </w:tcPr>
          <w:p w14:paraId="6CF70149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Target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engagement assumed; specific BCMA density reporting was not consistent in the Phase I publication.</w:t>
            </w:r>
          </w:p>
        </w:tc>
        <w:tc>
          <w:tcPr>
            <w:tcW w:w="2735" w:type="dxa"/>
            <w:vAlign w:val="center"/>
          </w:tcPr>
          <w:p w14:paraId="5AF92D94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Phase I: ORR 39.3% overall (56.1% at MTD); median PFS 5.1–6.6 mo; discontinuation for ocular symptoms 14%. Major AEs: photophobia 43.9% (Grade ≥3 17.1%), Grade ≥3 thrombocytopenia 36.6%, ↑GGT 26.8%; no keratopathy/VA loss reported.  </w:t>
            </w:r>
          </w:p>
        </w:tc>
        <w:tc>
          <w:tcPr>
            <w:tcW w:w="2268" w:type="dxa"/>
            <w:vAlign w:val="center"/>
          </w:tcPr>
          <w:p w14:paraId="24565B83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A distinct ocular phenotype (photophobia without keratopathy) suggests payload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dependent toxicity; frequent ocular discontinuations curtailed development.  </w:t>
            </w:r>
          </w:p>
        </w:tc>
      </w:tr>
      <w:tr w14:paraId="0C164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4" w:type="dxa"/>
            <w:vAlign w:val="center"/>
          </w:tcPr>
          <w:p w14:paraId="0AD1E8D8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Microtubule inhibitor (maytansinoid)</w:t>
            </w:r>
          </w:p>
        </w:tc>
        <w:tc>
          <w:tcPr>
            <w:tcW w:w="2477" w:type="dxa"/>
            <w:vAlign w:val="center"/>
          </w:tcPr>
          <w:p w14:paraId="31DE5526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Dosed as mg (30–250 mg) in escalation; 3 mg/kg in expansion. Exposure normalization not reported; cytopenias prominent.</w:t>
            </w:r>
          </w:p>
        </w:tc>
        <w:tc>
          <w:tcPr>
            <w:tcW w:w="2510" w:type="dxa"/>
            <w:vAlign w:val="center"/>
          </w:tcPr>
          <w:p w14:paraId="397572DD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BCMA expression not systematically reported; internalization presumed.</w:t>
            </w:r>
          </w:p>
        </w:tc>
        <w:tc>
          <w:tcPr>
            <w:tcW w:w="2735" w:type="dxa"/>
            <w:vAlign w:val="center"/>
          </w:tcPr>
          <w:p w14:paraId="69C45CE1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Phase I: ORR 23% (9/40). Major AEs: Grade 4 thrombocytopenia 24%, anaemia 21%, ocular AEs 21%; PFS not consistently reported.  </w:t>
            </w:r>
          </w:p>
        </w:tc>
        <w:tc>
          <w:tcPr>
            <w:tcW w:w="2268" w:type="dxa"/>
            <w:vAlign w:val="center"/>
          </w:tcPr>
          <w:p w14:paraId="2D2C005A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Lower activity signal vs other programs with hematologic toxicity prominent; ocular AEs present but less defining than with MMAF.  </w:t>
            </w:r>
          </w:p>
        </w:tc>
      </w:tr>
      <w:tr w14:paraId="26E0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4" w:type="dxa"/>
            <w:vAlign w:val="center"/>
          </w:tcPr>
          <w:p w14:paraId="012866FF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Amanitin-based transcription inhibitor (preclinical)</w:t>
            </w:r>
          </w:p>
        </w:tc>
        <w:tc>
          <w:tcPr>
            <w:tcW w:w="2477" w:type="dxa"/>
            <w:vAlign w:val="center"/>
          </w:tcPr>
          <w:p w14:paraId="0604012F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Preclinical dosing (e.g., 2.2 mg/kg in mice). Monkey tox: reversible hepatic enzyme rises; renal changes (interstitial nephritis, casts, fibrosis/necrosis) with recovery after washout.</w:t>
            </w:r>
          </w:p>
        </w:tc>
        <w:tc>
          <w:tcPr>
            <w:tcW w:w="2510" w:type="dxa"/>
            <w:vAlign w:val="center"/>
          </w:tcPr>
          <w:p w14:paraId="62AE128F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Antigen density not quantified; robust preclinical activity despite low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proliferation states reported in the study.</w:t>
            </w:r>
          </w:p>
        </w:tc>
        <w:tc>
          <w:tcPr>
            <w:tcW w:w="2735" w:type="dxa"/>
            <w:vAlign w:val="center"/>
          </w:tcPr>
          <w:p w14:paraId="4B0ADCE9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>Mice: tumour regression and &gt;100 tumour-free days at low doses; Monkeys: liver/kidney findings with partial/complete recovery off</w:t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noBreakHyphen/>
            </w: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treatment. No human efficacy data yet.  </w:t>
            </w:r>
          </w:p>
        </w:tc>
        <w:tc>
          <w:tcPr>
            <w:tcW w:w="2268" w:type="dxa"/>
            <w:vAlign w:val="center"/>
          </w:tcPr>
          <w:p w14:paraId="7AC9B2E1">
            <w:pPr>
              <w:spacing w:before="100" w:beforeAutospacing="1" w:after="100" w:afterAutospacing="1"/>
              <w:rPr>
                <w:rFonts w:hint="default" w:ascii="Minion Pro" w:hAnsi="Minion Pro" w:cs="Minion Pro"/>
                <w:sz w:val="22"/>
                <w:szCs w:val="22"/>
                <w:lang w:val="en-AU"/>
              </w:rPr>
            </w:pPr>
            <w:r>
              <w:rPr>
                <w:rFonts w:hint="default" w:ascii="Minion Pro" w:hAnsi="Minion Pro" w:cs="Minion Pro"/>
                <w:sz w:val="22"/>
                <w:szCs w:val="22"/>
                <w:lang w:val="en-AU"/>
              </w:rPr>
              <w:t xml:space="preserve">Mechanistically distinct payload with non-overlapping ocular profile (preclinical); translational safety (hepatic/renal) is the key risk to watch in first-in-human studies.  </w:t>
            </w:r>
          </w:p>
        </w:tc>
      </w:tr>
    </w:tbl>
    <w:p w14:paraId="0E11E07C">
      <w:pPr>
        <w:spacing w:after="160"/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cs="Minion Pro" w:eastAsiaTheme="minorEastAsia"/>
          <w:kern w:val="2"/>
          <w:sz w:val="22"/>
          <w:szCs w:val="22"/>
          <w:lang w:val="en-AU"/>
          <w14:ligatures w14:val="standardContextual"/>
        </w:rPr>
        <w:t>Note</w:t>
      </w: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: mc, maleimidocaproyl; MMAF, monomethyl auristatin F; PBD, pyrrolobenzodiazepine; DM1, mertansine; Val</w:t>
      </w: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noBreakHyphen/>
      </w: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Ala, valine–alanine; BVd, belantamab mafodotin + bortezomib + dexamethasone; Len/Dex, lenalidomide/dexamethasone; Pom/Dex , pomalidomide/dexamethasone; ORR, overall response rate; PFS, progression-free survival; DLT, dose-limiting toxicity; RP2D, recommended Phase II dose; VA, visual acuity;</w:t>
      </w:r>
      <w:r>
        <w:rPr>
          <w:rFonts w:hint="default" w:ascii="Minion Pro" w:hAnsi="Minion Pro" w:eastAsia="等线" w:cs="Minion Pro"/>
          <w:kern w:val="2"/>
          <w:sz w:val="22"/>
          <w:szCs w:val="22"/>
          <w:lang w:val="en-AU"/>
          <w14:ligatures w14:val="standardContextual"/>
        </w:rPr>
        <w:t xml:space="preserve"> </w:t>
      </w: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GGT, increased gamma-glutamyl transferase. </w:t>
      </w:r>
    </w:p>
    <w:p w14:paraId="3F62D5D0">
      <w:pPr>
        <w:spacing w:after="160"/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</w:p>
    <w:p w14:paraId="35690012">
      <w:pPr>
        <w:rPr>
          <w:rFonts w:hint="default" w:ascii="Minion Pro" w:hAnsi="Minion Pro" w:eastAsia="Aptos" w:cs="Minion Pro"/>
          <w:b/>
          <w:bCs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b/>
          <w:bCs/>
          <w:kern w:val="2"/>
          <w:sz w:val="22"/>
          <w:szCs w:val="22"/>
          <w:lang w:val="en-GB" w:eastAsia="en-US"/>
          <w14:ligatures w14:val="standardContextual"/>
        </w:rPr>
        <w:t xml:space="preserve">Supplementary Material </w:t>
      </w:r>
      <w:r>
        <w:rPr>
          <w:rFonts w:hint="default" w:ascii="Minion Pro" w:hAnsi="Minion Pro" w:eastAsia="宋体" w:cs="Minion Pro"/>
          <w:b/>
          <w:bCs/>
          <w:kern w:val="2"/>
          <w:sz w:val="22"/>
          <w:szCs w:val="22"/>
          <w14:ligatures w14:val="standardContextual"/>
        </w:rPr>
        <w:t>4</w:t>
      </w:r>
      <w:r>
        <w:rPr>
          <w:rFonts w:hint="default" w:ascii="Minion Pro" w:hAnsi="Minion Pro" w:eastAsia="Aptos" w:cs="Minion Pro"/>
          <w:b/>
          <w:bCs/>
          <w:kern w:val="2"/>
          <w:sz w:val="22"/>
          <w:szCs w:val="22"/>
          <w:lang w:val="en-AU" w:eastAsia="en-US"/>
          <w14:ligatures w14:val="standardContextual"/>
        </w:rPr>
        <w:t>: Ovid MEDLINE search strategy</w:t>
      </w:r>
    </w:p>
    <w:p w14:paraId="6BC5DE45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</w:p>
    <w:p w14:paraId="028BFD8E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Database: Ovid MEDLINE(R) ALL, 1946 -</w:t>
      </w:r>
    </w:p>
    <w:p w14:paraId="46296574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Search Strategy:</w:t>
      </w:r>
    </w:p>
    <w:p w14:paraId="33BE52DB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--------------------------------------------------------------------------------</w:t>
      </w:r>
    </w:p>
    <w:p w14:paraId="198800C3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     exp B-Cell Maturation Antigen/ </w:t>
      </w:r>
    </w:p>
    <w:p w14:paraId="45C985C1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     ("b cell" adj2 matur$ adj2 antigen$).tw. </w:t>
      </w:r>
    </w:p>
    <w:p w14:paraId="56A2F611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3     bcma$.tw. </w:t>
      </w:r>
    </w:p>
    <w:p w14:paraId="731A5EE5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>4     ("b cell" adj2 matur$ adj2 protein$).tw</w:t>
      </w:r>
    </w:p>
    <w:p w14:paraId="43285423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5     (cluster adj2 differentiat$ adj2 "269").tw. </w:t>
      </w:r>
    </w:p>
    <w:p w14:paraId="05E6D17C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6     ("CD 269" or CD-269 or CD269).tw. </w:t>
      </w:r>
    </w:p>
    <w:p w14:paraId="0C9E692C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7     exp Receptors, Tumor Necrosis Factor/ </w:t>
      </w:r>
    </w:p>
    <w:p w14:paraId="5FB08E7E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8     "tumour necrosis factor receptor superfamily member 17".tw. </w:t>
      </w:r>
    </w:p>
    <w:p w14:paraId="6440970B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9     "tumor necrosis factor receptor superfamily member 17".tw. </w:t>
      </w:r>
    </w:p>
    <w:p w14:paraId="3C0F0C90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10     ("TNFRSF 17" or TNFRSF-17 or TNFRSF17).tw. </w:t>
      </w:r>
    </w:p>
    <w:p w14:paraId="465C5AE5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11     1 or 2 or 3 or 4 or 5 or 6 or 7 or 8 or 9 or 10 </w:t>
      </w:r>
    </w:p>
    <w:p w14:paraId="196F62F3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12     exp Immunoconjugates/ </w:t>
      </w:r>
    </w:p>
    <w:p w14:paraId="320BDEF1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13     ((antibody adj2 drug$ adj2 conjugate$) or (antibody-drug$ adj2 conjugate$)).tw. </w:t>
      </w:r>
    </w:p>
    <w:p w14:paraId="28C0B2B6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14     ADC$.tw. </w:t>
      </w:r>
    </w:p>
    <w:p w14:paraId="2C170E6C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15     12 or 13 or 14 </w:t>
      </w:r>
    </w:p>
    <w:p w14:paraId="2347DD81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16     11 and 15 </w:t>
      </w:r>
    </w:p>
    <w:p w14:paraId="16C7F07B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17     exp Treatment Outcome/ </w:t>
      </w:r>
    </w:p>
    <w:p w14:paraId="1125C3B7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18     efficac$.tw. </w:t>
      </w:r>
    </w:p>
    <w:p w14:paraId="6EC4D407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19     effective$.tw. </w:t>
      </w:r>
    </w:p>
    <w:p w14:paraId="2F4AA252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20     exp Safety/ </w:t>
      </w:r>
    </w:p>
    <w:p w14:paraId="19A2EEAE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21     exp Safety-Based Drug Withdrawals/ </w:t>
      </w:r>
    </w:p>
    <w:p w14:paraId="6E784449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22     exp Product Surveillance, Postmarketing/ </w:t>
      </w:r>
    </w:p>
    <w:p w14:paraId="050BFDC1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23     exp Drug Evaluation/ </w:t>
      </w:r>
    </w:p>
    <w:p w14:paraId="1FBE78DB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24     exp Adverse Drug Reaction Reporting Systems/ </w:t>
      </w:r>
    </w:p>
    <w:p w14:paraId="42EA2327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25     (adverse adj2 (effect$ or event$)).tw. </w:t>
      </w:r>
    </w:p>
    <w:p w14:paraId="3B3AC09A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26     (safe or safety).tw. </w:t>
      </w:r>
    </w:p>
    <w:p w14:paraId="71E6E5FD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27     reactogenic$.tw. </w:t>
      </w:r>
    </w:p>
    <w:p w14:paraId="1D1D5A98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28     ((postmarketing or post-marketing or post marketing or postlicensure or post-licensure or post licensure) adj5 (surveillance or monitor$)).tw. </w:t>
      </w:r>
    </w:p>
    <w:p w14:paraId="0AA61458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29     pharmacovigilan$.tw. </w:t>
      </w:r>
    </w:p>
    <w:p w14:paraId="2ACDF306">
      <w:pP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</w:pPr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30     17 or 18 or 19 or 20 or 21 or 22 or 23 or 24 or 25 or 26 or 27 or 28 or 29 </w:t>
      </w:r>
    </w:p>
    <w:p w14:paraId="4E19E40F">
      <w:r>
        <w:rPr>
          <w:rFonts w:hint="default" w:ascii="Minion Pro" w:hAnsi="Minion Pro" w:eastAsia="Aptos" w:cs="Minion Pro"/>
          <w:kern w:val="2"/>
          <w:sz w:val="22"/>
          <w:szCs w:val="22"/>
          <w:lang w:val="en-AU" w:eastAsia="en-US"/>
          <w14:ligatures w14:val="standardContextual"/>
        </w:rPr>
        <w:t xml:space="preserve">31     16 and 30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Segoe Prin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Minion Pro">
    <w:panose1 w:val="02040503050201020203"/>
    <w:charset w:val="00"/>
    <w:family w:val="roman"/>
    <w:pitch w:val="default"/>
    <w:sig w:usb0="E00002AF" w:usb1="5000205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65ED4"/>
    <w:rsid w:val="4656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Grid1"/>
    <w:basedOn w:val="3"/>
    <w:qFormat/>
    <w:uiPriority w:val="39"/>
    <w:rPr>
      <w:rFonts w:ascii="Aptos" w:hAnsi="Aptos" w:eastAsia="等线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2025-10-08T11:59:00Z</dcterms:created>
  <dc:creator>TSP030</dc:creator>
  <cp:lastModifiedBy>TSP030</cp:lastModifiedBy>
  <dcterms:modified xsi:type="dcterms:W3CDTF">2025-10-08T12:00:10Z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F9D657B921ED419E80059B279B90B28F_11</vt:lpwstr>
  </property>
</Properties>
</file>