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67A19F" w14:textId="2741E487" w:rsidR="00687753" w:rsidRDefault="00630FC7" w:rsidP="00630FC7">
      <w:pPr>
        <w:jc w:val="center"/>
        <w:rPr>
          <w:rFonts w:ascii="Minion Pro" w:hAnsi="Minion Pro"/>
          <w:b/>
          <w:bCs/>
          <w:sz w:val="28"/>
          <w:szCs w:val="28"/>
        </w:rPr>
      </w:pPr>
      <w:r w:rsidRPr="00630FC7">
        <w:rPr>
          <w:rFonts w:ascii="Minion Pro" w:hAnsi="Minion Pro"/>
          <w:b/>
          <w:bCs/>
          <w:sz w:val="28"/>
          <w:szCs w:val="28"/>
        </w:rPr>
        <w:t xml:space="preserve">Supplementary </w:t>
      </w:r>
      <w:r w:rsidR="006573FF">
        <w:rPr>
          <w:rFonts w:ascii="Minion Pro" w:hAnsi="Minion Pro"/>
          <w:b/>
          <w:bCs/>
          <w:sz w:val="28"/>
          <w:szCs w:val="28"/>
        </w:rPr>
        <w:t>Information</w:t>
      </w:r>
    </w:p>
    <w:p w14:paraId="27A782BC" w14:textId="77777777" w:rsidR="006573FF" w:rsidRPr="00B34EB5" w:rsidRDefault="006573FF" w:rsidP="006573FF">
      <w:pPr>
        <w:spacing w:before="240" w:after="60"/>
        <w:jc w:val="center"/>
        <w:rPr>
          <w:rFonts w:ascii="Minion Pro" w:hAnsi="Minion Pro"/>
          <w:sz w:val="28"/>
          <w:szCs w:val="26"/>
        </w:rPr>
      </w:pPr>
      <w:r w:rsidRPr="00B34EB5">
        <w:rPr>
          <w:rFonts w:ascii="Minion Pro" w:hAnsi="Minion Pro" w:cs="Times New Roman"/>
          <w:b/>
          <w:bCs/>
          <w:sz w:val="28"/>
          <w:szCs w:val="28"/>
        </w:rPr>
        <w:t>DFT insights into the detection of NH</w:t>
      </w:r>
      <w:r w:rsidRPr="00B34EB5">
        <w:rPr>
          <w:rFonts w:ascii="Minion Pro" w:hAnsi="Minion Pro" w:cs="Times New Roman"/>
          <w:b/>
          <w:bCs/>
          <w:sz w:val="28"/>
          <w:szCs w:val="28"/>
          <w:vertAlign w:val="subscript"/>
        </w:rPr>
        <w:t>3</w:t>
      </w:r>
      <w:r w:rsidRPr="00B34EB5">
        <w:rPr>
          <w:rFonts w:ascii="Minion Pro" w:hAnsi="Minion Pro" w:cs="Times New Roman"/>
          <w:b/>
          <w:bCs/>
          <w:sz w:val="28"/>
          <w:szCs w:val="28"/>
        </w:rPr>
        <w:t>, AsH</w:t>
      </w:r>
      <w:r w:rsidRPr="00B34EB5">
        <w:rPr>
          <w:rFonts w:ascii="Minion Pro" w:hAnsi="Minion Pro" w:cs="Times New Roman"/>
          <w:b/>
          <w:bCs/>
          <w:sz w:val="28"/>
          <w:szCs w:val="28"/>
          <w:vertAlign w:val="subscript"/>
        </w:rPr>
        <w:t>3</w:t>
      </w:r>
      <w:r w:rsidRPr="00B34EB5">
        <w:rPr>
          <w:rFonts w:ascii="Minion Pro" w:hAnsi="Minion Pro" w:cs="Times New Roman"/>
          <w:b/>
          <w:bCs/>
          <w:sz w:val="28"/>
          <w:szCs w:val="28"/>
        </w:rPr>
        <w:t>, PH</w:t>
      </w:r>
      <w:r w:rsidRPr="00B34EB5">
        <w:rPr>
          <w:rFonts w:ascii="Minion Pro" w:hAnsi="Minion Pro" w:cs="Times New Roman"/>
          <w:b/>
          <w:bCs/>
          <w:sz w:val="28"/>
          <w:szCs w:val="28"/>
          <w:vertAlign w:val="subscript"/>
        </w:rPr>
        <w:t>3</w:t>
      </w:r>
      <w:r w:rsidRPr="00B34EB5">
        <w:rPr>
          <w:rFonts w:ascii="Minion Pro" w:hAnsi="Minion Pro" w:cs="Times New Roman"/>
          <w:b/>
          <w:bCs/>
          <w:sz w:val="28"/>
          <w:szCs w:val="28"/>
        </w:rPr>
        <w:t>, CO</w:t>
      </w:r>
      <w:r w:rsidRPr="00B34EB5">
        <w:rPr>
          <w:rFonts w:ascii="Minion Pro" w:hAnsi="Minion Pro" w:cs="Times New Roman"/>
          <w:b/>
          <w:bCs/>
          <w:sz w:val="28"/>
          <w:szCs w:val="28"/>
          <w:vertAlign w:val="subscript"/>
        </w:rPr>
        <w:t>2</w:t>
      </w:r>
      <w:r w:rsidRPr="00B34EB5">
        <w:rPr>
          <w:rFonts w:ascii="Minion Pro" w:hAnsi="Minion Pro" w:cs="Times New Roman"/>
          <w:b/>
          <w:bCs/>
          <w:sz w:val="28"/>
          <w:szCs w:val="28"/>
        </w:rPr>
        <w:t>, and CH</w:t>
      </w:r>
      <w:r w:rsidRPr="00B34EB5">
        <w:rPr>
          <w:rFonts w:ascii="Minion Pro" w:hAnsi="Minion Pro" w:cs="Times New Roman"/>
          <w:b/>
          <w:bCs/>
          <w:sz w:val="28"/>
          <w:szCs w:val="28"/>
          <w:vertAlign w:val="subscript"/>
        </w:rPr>
        <w:t>4</w:t>
      </w:r>
      <w:r w:rsidRPr="00B34EB5">
        <w:rPr>
          <w:rFonts w:ascii="Minion Pro" w:hAnsi="Minion Pro" w:cs="Times New Roman"/>
          <w:b/>
          <w:bCs/>
          <w:sz w:val="28"/>
          <w:szCs w:val="28"/>
        </w:rPr>
        <w:t xml:space="preserve"> gases with pristine and monovacancy phosphorene sheets</w:t>
      </w:r>
    </w:p>
    <w:p w14:paraId="37076923" w14:textId="7C5161A3" w:rsidR="00730754" w:rsidRDefault="00730754" w:rsidP="00F952D7">
      <w:pPr>
        <w:jc w:val="center"/>
        <w:rPr>
          <w:rFonts w:ascii="Minion Pro" w:eastAsia="Times New Roman" w:hAnsi="Minion Pro" w:cs="Times New Roman"/>
          <w:b/>
          <w:bCs/>
          <w:szCs w:val="22"/>
        </w:rPr>
      </w:pPr>
      <w:r w:rsidRPr="00B34EB5">
        <w:rPr>
          <w:rFonts w:ascii="Minion Pro" w:eastAsia="Times New Roman" w:hAnsi="Minion Pro" w:cs="Times New Roman"/>
          <w:b/>
          <w:bCs/>
          <w:noProof/>
          <w:szCs w:val="22"/>
        </w:rPr>
        <w:drawing>
          <wp:anchor distT="0" distB="0" distL="0" distR="0" simplePos="0" relativeHeight="251659264" behindDoc="0" locked="0" layoutInCell="0" allowOverlap="1" wp14:anchorId="3C5BB497" wp14:editId="591B93CA">
            <wp:simplePos x="0" y="0"/>
            <wp:positionH relativeFrom="margin">
              <wp:align>right</wp:align>
            </wp:positionH>
            <wp:positionV relativeFrom="paragraph">
              <wp:posOffset>248920</wp:posOffset>
            </wp:positionV>
            <wp:extent cx="5876925" cy="2905125"/>
            <wp:effectExtent l="0" t="0" r="0" b="0"/>
            <wp:wrapSquare wrapText="bothSides"/>
            <wp:docPr id="3" name="Object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6AFFB3E" w14:textId="0F604C07" w:rsidR="00630FC7" w:rsidRPr="00F952D7" w:rsidRDefault="00630FC7" w:rsidP="00F952D7">
      <w:pPr>
        <w:jc w:val="center"/>
        <w:rPr>
          <w:rFonts w:ascii="Minion Pro" w:hAnsi="Minion Pro"/>
          <w:b/>
          <w:bCs/>
          <w:szCs w:val="22"/>
        </w:rPr>
      </w:pPr>
      <w:r w:rsidRPr="00B34EB5">
        <w:rPr>
          <w:rFonts w:ascii="Minion Pro" w:eastAsia="Times New Roman" w:hAnsi="Minion Pro" w:cs="Times New Roman"/>
          <w:b/>
          <w:bCs/>
          <w:szCs w:val="22"/>
        </w:rPr>
        <w:t xml:space="preserve">Figure </w:t>
      </w:r>
      <w:r>
        <w:rPr>
          <w:rFonts w:ascii="Minion Pro" w:eastAsia="Times New Roman" w:hAnsi="Minion Pro" w:cs="Times New Roman"/>
          <w:b/>
          <w:bCs/>
          <w:szCs w:val="22"/>
        </w:rPr>
        <w:t>S1</w:t>
      </w:r>
      <w:r w:rsidRPr="00B34EB5">
        <w:rPr>
          <w:rFonts w:ascii="Minion Pro" w:eastAsia="Times New Roman" w:hAnsi="Minion Pro" w:cs="Times New Roman"/>
          <w:b/>
          <w:bCs/>
          <w:szCs w:val="22"/>
        </w:rPr>
        <w:t>:</w:t>
      </w:r>
      <w:r w:rsidRPr="00B34EB5">
        <w:rPr>
          <w:rFonts w:ascii="Minion Pro" w:eastAsia="Times New Roman" w:hAnsi="Minion Pro" w:cs="Times New Roman"/>
          <w:szCs w:val="22"/>
        </w:rPr>
        <w:t xml:space="preserve"> The interaction energies of NH</w:t>
      </w:r>
      <w:r w:rsidRPr="00B34EB5">
        <w:rPr>
          <w:rFonts w:ascii="Minion Pro" w:eastAsia="Times New Roman" w:hAnsi="Minion Pro" w:cs="Times New Roman"/>
          <w:szCs w:val="22"/>
          <w:vertAlign w:val="subscript"/>
        </w:rPr>
        <w:t>3</w:t>
      </w:r>
      <w:r w:rsidRPr="00B34EB5">
        <w:rPr>
          <w:rFonts w:ascii="Minion Pro" w:eastAsia="Times New Roman" w:hAnsi="Minion Pro" w:cs="Times New Roman"/>
          <w:szCs w:val="22"/>
        </w:rPr>
        <w:t>, AsH</w:t>
      </w:r>
      <w:r w:rsidRPr="00B34EB5">
        <w:rPr>
          <w:rFonts w:ascii="Minion Pro" w:eastAsia="Times New Roman" w:hAnsi="Minion Pro" w:cs="Times New Roman"/>
          <w:szCs w:val="22"/>
          <w:vertAlign w:val="subscript"/>
        </w:rPr>
        <w:t>3</w:t>
      </w:r>
      <w:r w:rsidRPr="00B34EB5">
        <w:rPr>
          <w:rFonts w:ascii="Minion Pro" w:eastAsia="Times New Roman" w:hAnsi="Minion Pro" w:cs="Times New Roman"/>
          <w:szCs w:val="22"/>
        </w:rPr>
        <w:t>, PH</w:t>
      </w:r>
      <w:r w:rsidRPr="00B34EB5">
        <w:rPr>
          <w:rFonts w:ascii="Minion Pro" w:eastAsia="Times New Roman" w:hAnsi="Minion Pro" w:cs="Times New Roman"/>
          <w:szCs w:val="22"/>
          <w:vertAlign w:val="subscript"/>
        </w:rPr>
        <w:t>3</w:t>
      </w:r>
      <w:r w:rsidRPr="00B34EB5">
        <w:rPr>
          <w:rFonts w:ascii="Minion Pro" w:eastAsia="Times New Roman" w:hAnsi="Minion Pro" w:cs="Times New Roman"/>
          <w:szCs w:val="22"/>
        </w:rPr>
        <w:t>, CO</w:t>
      </w:r>
      <w:r w:rsidRPr="00B34EB5">
        <w:rPr>
          <w:rFonts w:ascii="Minion Pro" w:eastAsia="Times New Roman" w:hAnsi="Minion Pro" w:cs="Times New Roman"/>
          <w:szCs w:val="22"/>
          <w:vertAlign w:val="subscript"/>
        </w:rPr>
        <w:t>2</w:t>
      </w:r>
      <w:r w:rsidRPr="00B34EB5">
        <w:rPr>
          <w:rFonts w:ascii="Minion Pro" w:eastAsia="Times New Roman" w:hAnsi="Minion Pro" w:cs="Times New Roman"/>
          <w:szCs w:val="22"/>
        </w:rPr>
        <w:t>, and CH</w:t>
      </w:r>
      <w:r w:rsidRPr="00B34EB5">
        <w:rPr>
          <w:rFonts w:ascii="Minion Pro" w:eastAsia="Times New Roman" w:hAnsi="Minion Pro" w:cs="Times New Roman"/>
          <w:szCs w:val="22"/>
          <w:vertAlign w:val="subscript"/>
        </w:rPr>
        <w:t>4</w:t>
      </w:r>
      <w:r w:rsidRPr="00B34EB5">
        <w:rPr>
          <w:rFonts w:ascii="Minion Pro" w:eastAsia="Times New Roman" w:hAnsi="Minion Pro" w:cs="Times New Roman"/>
          <w:szCs w:val="22"/>
        </w:rPr>
        <w:t xml:space="preserve"> gas molecules on pristine phosphorene</w:t>
      </w:r>
      <w:r>
        <w:rPr>
          <w:rFonts w:ascii="Minion Pro" w:eastAsia="Times New Roman" w:hAnsi="Minion Pro" w:cs="Times New Roman"/>
          <w:szCs w:val="22"/>
        </w:rPr>
        <w:t xml:space="preserve"> (P)</w:t>
      </w:r>
      <w:r w:rsidRPr="00B34EB5">
        <w:rPr>
          <w:rFonts w:ascii="Minion Pro" w:eastAsia="Times New Roman" w:hAnsi="Minion Pro" w:cs="Times New Roman"/>
          <w:szCs w:val="22"/>
        </w:rPr>
        <w:t xml:space="preserve"> </w:t>
      </w:r>
      <w:r>
        <w:rPr>
          <w:rFonts w:ascii="Minion Pro" w:eastAsia="Times New Roman" w:hAnsi="Minion Pro" w:cs="Times New Roman"/>
          <w:szCs w:val="22"/>
        </w:rPr>
        <w:t xml:space="preserve">(blue color) </w:t>
      </w:r>
      <w:r w:rsidRPr="00B34EB5">
        <w:rPr>
          <w:rFonts w:ascii="Minion Pro" w:eastAsia="Times New Roman" w:hAnsi="Minion Pro" w:cs="Times New Roman"/>
          <w:szCs w:val="22"/>
        </w:rPr>
        <w:t xml:space="preserve">and </w:t>
      </w:r>
      <w:r>
        <w:rPr>
          <w:rFonts w:ascii="Minion Pro" w:eastAsia="Times New Roman" w:hAnsi="Minion Pro" w:cs="Times New Roman"/>
          <w:szCs w:val="22"/>
        </w:rPr>
        <w:t>mono vacancy phosphorene (</w:t>
      </w:r>
      <w:r w:rsidRPr="00B34EB5">
        <w:rPr>
          <w:rFonts w:ascii="Minion Pro" w:eastAsia="Times New Roman" w:hAnsi="Minion Pro" w:cs="Times New Roman"/>
          <w:szCs w:val="22"/>
        </w:rPr>
        <w:t>MVP</w:t>
      </w:r>
      <w:r>
        <w:rPr>
          <w:rFonts w:ascii="Minion Pro" w:eastAsia="Times New Roman" w:hAnsi="Minion Pro" w:cs="Times New Roman"/>
          <w:szCs w:val="22"/>
        </w:rPr>
        <w:t>) (orange color) sheets</w:t>
      </w:r>
      <w:r w:rsidRPr="00B34EB5">
        <w:rPr>
          <w:rFonts w:ascii="Minion Pro" w:eastAsia="Times New Roman" w:hAnsi="Minion Pro" w:cs="Times New Roman"/>
          <w:szCs w:val="22"/>
        </w:rPr>
        <w:t>.</w:t>
      </w:r>
    </w:p>
    <w:p w14:paraId="0846795B" w14:textId="77777777" w:rsidR="00630FC7" w:rsidRPr="00630FC7" w:rsidRDefault="00630FC7" w:rsidP="00630FC7">
      <w:pPr>
        <w:jc w:val="center"/>
        <w:rPr>
          <w:rFonts w:ascii="Minion Pro" w:hAnsi="Minion Pro"/>
          <w:b/>
          <w:bCs/>
          <w:szCs w:val="22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680"/>
      </w:tblGrid>
      <w:tr w:rsidR="00C629AA" w14:paraId="296E6076" w14:textId="77777777" w:rsidTr="00F952D7">
        <w:trPr>
          <w:jc w:val="center"/>
        </w:trPr>
        <w:tc>
          <w:tcPr>
            <w:tcW w:w="9576" w:type="dxa"/>
            <w:gridSpan w:val="2"/>
            <w:vAlign w:val="center"/>
          </w:tcPr>
          <w:p w14:paraId="12AA46E4" w14:textId="77777777" w:rsidR="00C629AA" w:rsidRPr="00630FC7" w:rsidRDefault="00386016" w:rsidP="00386016">
            <w:pPr>
              <w:spacing w:before="100" w:beforeAutospacing="1" w:after="100" w:afterAutospacing="1"/>
              <w:jc w:val="center"/>
              <w:rPr>
                <w:rFonts w:ascii="Minion Pro" w:hAnsi="Minion Pro"/>
              </w:rPr>
            </w:pPr>
            <w:r w:rsidRPr="00386016">
              <w:rPr>
                <w:rFonts w:ascii="Minion Pro" w:hAnsi="Minion Pro"/>
                <w:noProof/>
              </w:rPr>
              <w:drawing>
                <wp:inline distT="0" distB="0" distL="0" distR="0" wp14:anchorId="1D8435ED" wp14:editId="74158F80">
                  <wp:extent cx="5943600" cy="1954530"/>
                  <wp:effectExtent l="0" t="0" r="0" b="762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3600" cy="1954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86016" w:rsidRPr="00386016" w14:paraId="546BEFAB" w14:textId="77777777" w:rsidTr="009055C2">
        <w:trPr>
          <w:jc w:val="center"/>
        </w:trPr>
        <w:tc>
          <w:tcPr>
            <w:tcW w:w="4788" w:type="dxa"/>
            <w:vAlign w:val="center"/>
          </w:tcPr>
          <w:p w14:paraId="0A775B39" w14:textId="77777777" w:rsidR="00386016" w:rsidRPr="00386016" w:rsidRDefault="00386016" w:rsidP="00386016">
            <w:pPr>
              <w:spacing w:before="120" w:after="100" w:afterAutospacing="1"/>
              <w:ind w:left="720"/>
              <w:jc w:val="center"/>
              <w:rPr>
                <w:rFonts w:ascii="Minion Pro" w:hAnsi="Minion Pro"/>
                <w:b/>
                <w:bCs/>
              </w:rPr>
            </w:pPr>
            <w:r>
              <w:rPr>
                <w:rFonts w:ascii="Minion Pro" w:hAnsi="Minion Pro"/>
                <w:b/>
                <w:bCs/>
              </w:rPr>
              <w:t xml:space="preserve">(A) </w:t>
            </w:r>
            <w:r w:rsidRPr="00386016">
              <w:rPr>
                <w:rFonts w:ascii="Minion Pro" w:hAnsi="Minion Pro"/>
                <w:b/>
                <w:bCs/>
              </w:rPr>
              <w:t>P-NH</w:t>
            </w:r>
            <w:r w:rsidRPr="00386016">
              <w:rPr>
                <w:rFonts w:ascii="Minion Pro" w:hAnsi="Minion Pro"/>
                <w:b/>
                <w:bCs/>
                <w:vertAlign w:val="subscript"/>
              </w:rPr>
              <w:t>3</w:t>
            </w:r>
          </w:p>
        </w:tc>
        <w:tc>
          <w:tcPr>
            <w:tcW w:w="4788" w:type="dxa"/>
            <w:vAlign w:val="center"/>
          </w:tcPr>
          <w:p w14:paraId="1FF350B5" w14:textId="77777777" w:rsidR="00386016" w:rsidRPr="00386016" w:rsidRDefault="00386016" w:rsidP="00386016">
            <w:pPr>
              <w:spacing w:before="120" w:after="100" w:afterAutospacing="1"/>
              <w:ind w:left="720"/>
              <w:jc w:val="center"/>
              <w:rPr>
                <w:rFonts w:ascii="Minion Pro" w:hAnsi="Minion Pro"/>
                <w:b/>
                <w:bCs/>
              </w:rPr>
            </w:pPr>
            <w:r>
              <w:rPr>
                <w:rFonts w:ascii="Minion Pro" w:hAnsi="Minion Pro"/>
                <w:b/>
                <w:bCs/>
              </w:rPr>
              <w:t xml:space="preserve">(B) </w:t>
            </w:r>
            <w:r w:rsidRPr="00386016">
              <w:rPr>
                <w:rFonts w:ascii="Minion Pro" w:hAnsi="Minion Pro"/>
                <w:b/>
                <w:bCs/>
              </w:rPr>
              <w:t>MVP-NH</w:t>
            </w:r>
            <w:r w:rsidRPr="00386016">
              <w:rPr>
                <w:rFonts w:ascii="Minion Pro" w:hAnsi="Minion Pro"/>
                <w:b/>
                <w:bCs/>
                <w:vertAlign w:val="subscript"/>
              </w:rPr>
              <w:t>3</w:t>
            </w:r>
          </w:p>
        </w:tc>
      </w:tr>
      <w:tr w:rsidR="00C629AA" w14:paraId="76EBC569" w14:textId="77777777" w:rsidTr="00F952D7">
        <w:trPr>
          <w:jc w:val="center"/>
        </w:trPr>
        <w:tc>
          <w:tcPr>
            <w:tcW w:w="9576" w:type="dxa"/>
            <w:gridSpan w:val="2"/>
            <w:vAlign w:val="center"/>
          </w:tcPr>
          <w:p w14:paraId="4BD64AA3" w14:textId="77777777" w:rsidR="00C629AA" w:rsidRDefault="00630FC7" w:rsidP="00386016">
            <w:pPr>
              <w:spacing w:before="240" w:after="100" w:afterAutospacing="1"/>
              <w:jc w:val="center"/>
              <w:rPr>
                <w:rFonts w:ascii="Minion Pro" w:hAnsi="Minion Pro"/>
              </w:rPr>
            </w:pPr>
            <w:r w:rsidRPr="00630FC7">
              <w:rPr>
                <w:rFonts w:ascii="Minion Pro" w:hAnsi="Minion Pro"/>
                <w:b/>
                <w:bCs/>
              </w:rPr>
              <w:t xml:space="preserve">Figure S2: </w:t>
            </w:r>
            <w:r>
              <w:rPr>
                <w:rFonts w:ascii="Minion Pro" w:hAnsi="Minion Pro"/>
              </w:rPr>
              <w:t>Projected DOS of</w:t>
            </w:r>
            <w:r w:rsidR="00386016">
              <w:rPr>
                <w:rFonts w:ascii="Minion Pro" w:hAnsi="Minion Pro"/>
              </w:rPr>
              <w:t xml:space="preserve"> (A)</w:t>
            </w:r>
            <w:r>
              <w:rPr>
                <w:rFonts w:ascii="Minion Pro" w:hAnsi="Minion Pro"/>
              </w:rPr>
              <w:t xml:space="preserve"> P-NH</w:t>
            </w:r>
            <w:r>
              <w:rPr>
                <w:rFonts w:ascii="Minion Pro" w:hAnsi="Minion Pro"/>
                <w:vertAlign w:val="subscript"/>
              </w:rPr>
              <w:t>3</w:t>
            </w:r>
            <w:r>
              <w:rPr>
                <w:rFonts w:ascii="Minion Pro" w:hAnsi="Minion Pro"/>
              </w:rPr>
              <w:t xml:space="preserve"> </w:t>
            </w:r>
            <w:r w:rsidR="00386016">
              <w:rPr>
                <w:rFonts w:ascii="Minion Pro" w:hAnsi="Minion Pro"/>
              </w:rPr>
              <w:t>and (B) MVP-NH</w:t>
            </w:r>
            <w:r w:rsidR="00386016">
              <w:rPr>
                <w:rFonts w:ascii="Minion Pro" w:hAnsi="Minion Pro"/>
                <w:vertAlign w:val="subscript"/>
              </w:rPr>
              <w:t>3</w:t>
            </w:r>
            <w:r w:rsidR="00386016">
              <w:rPr>
                <w:rFonts w:ascii="Minion Pro" w:hAnsi="Minion Pro"/>
              </w:rPr>
              <w:t xml:space="preserve"> </w:t>
            </w:r>
            <w:r>
              <w:rPr>
                <w:rFonts w:ascii="Minion Pro" w:hAnsi="Minion Pro"/>
              </w:rPr>
              <w:t>adsystem.</w:t>
            </w:r>
          </w:p>
          <w:p w14:paraId="76FA2F0C" w14:textId="77777777" w:rsidR="00B05E2D" w:rsidRPr="00630FC7" w:rsidRDefault="00B05E2D" w:rsidP="00386016">
            <w:pPr>
              <w:spacing w:before="240" w:after="100" w:afterAutospacing="1"/>
              <w:jc w:val="center"/>
              <w:rPr>
                <w:rFonts w:ascii="Minion Pro" w:hAnsi="Minion Pro"/>
              </w:rPr>
            </w:pPr>
            <w:r w:rsidRPr="00B05E2D">
              <w:rPr>
                <w:rFonts w:ascii="Minion Pro" w:hAnsi="Minion Pro"/>
                <w:noProof/>
              </w:rPr>
              <w:lastRenderedPageBreak/>
              <w:drawing>
                <wp:inline distT="0" distB="0" distL="0" distR="0" wp14:anchorId="7A2F097F" wp14:editId="798C51D5">
                  <wp:extent cx="5943600" cy="1957070"/>
                  <wp:effectExtent l="0" t="0" r="0" b="508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3600" cy="1957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29AA" w14:paraId="1F8BC8EA" w14:textId="77777777" w:rsidTr="00F952D7">
        <w:trPr>
          <w:jc w:val="center"/>
        </w:trPr>
        <w:tc>
          <w:tcPr>
            <w:tcW w:w="9576" w:type="dxa"/>
            <w:gridSpan w:val="2"/>
            <w:vAlign w:val="center"/>
          </w:tcPr>
          <w:p w14:paraId="4E013645" w14:textId="77777777" w:rsidR="00C629AA" w:rsidRDefault="00C629AA" w:rsidP="00B05E2D">
            <w:pPr>
              <w:spacing w:before="100" w:beforeAutospacing="1" w:after="100" w:afterAutospacing="1"/>
              <w:jc w:val="center"/>
            </w:pPr>
          </w:p>
        </w:tc>
      </w:tr>
      <w:tr w:rsidR="00386016" w:rsidRPr="00386016" w14:paraId="0EEC75EA" w14:textId="77777777" w:rsidTr="001F1A0D">
        <w:trPr>
          <w:jc w:val="center"/>
        </w:trPr>
        <w:tc>
          <w:tcPr>
            <w:tcW w:w="4788" w:type="dxa"/>
            <w:vAlign w:val="center"/>
          </w:tcPr>
          <w:p w14:paraId="50A7764C" w14:textId="77777777" w:rsidR="00386016" w:rsidRPr="00386016" w:rsidRDefault="00386016" w:rsidP="001F1A0D">
            <w:pPr>
              <w:spacing w:before="120" w:after="100" w:afterAutospacing="1"/>
              <w:ind w:left="720"/>
              <w:jc w:val="center"/>
              <w:rPr>
                <w:rFonts w:ascii="Minion Pro" w:hAnsi="Minion Pro"/>
                <w:b/>
                <w:bCs/>
              </w:rPr>
            </w:pPr>
            <w:r>
              <w:rPr>
                <w:rFonts w:ascii="Minion Pro" w:hAnsi="Minion Pro"/>
                <w:b/>
                <w:bCs/>
              </w:rPr>
              <w:t>(A) P-As</w:t>
            </w:r>
            <w:r w:rsidRPr="00386016">
              <w:rPr>
                <w:rFonts w:ascii="Minion Pro" w:hAnsi="Minion Pro"/>
                <w:b/>
                <w:bCs/>
              </w:rPr>
              <w:t>H</w:t>
            </w:r>
            <w:r w:rsidRPr="00386016">
              <w:rPr>
                <w:rFonts w:ascii="Minion Pro" w:hAnsi="Minion Pro"/>
                <w:b/>
                <w:bCs/>
                <w:vertAlign w:val="subscript"/>
              </w:rPr>
              <w:t>3</w:t>
            </w:r>
          </w:p>
        </w:tc>
        <w:tc>
          <w:tcPr>
            <w:tcW w:w="4788" w:type="dxa"/>
            <w:vAlign w:val="center"/>
          </w:tcPr>
          <w:p w14:paraId="437231C7" w14:textId="77777777" w:rsidR="00386016" w:rsidRPr="00386016" w:rsidRDefault="00386016" w:rsidP="001F1A0D">
            <w:pPr>
              <w:spacing w:before="120" w:after="100" w:afterAutospacing="1"/>
              <w:ind w:left="720"/>
              <w:jc w:val="center"/>
              <w:rPr>
                <w:rFonts w:ascii="Minion Pro" w:hAnsi="Minion Pro"/>
                <w:b/>
                <w:bCs/>
              </w:rPr>
            </w:pPr>
            <w:r>
              <w:rPr>
                <w:rFonts w:ascii="Minion Pro" w:hAnsi="Minion Pro"/>
                <w:b/>
                <w:bCs/>
              </w:rPr>
              <w:t xml:space="preserve">(B) </w:t>
            </w:r>
            <w:r w:rsidRPr="00386016">
              <w:rPr>
                <w:rFonts w:ascii="Minion Pro" w:hAnsi="Minion Pro"/>
                <w:b/>
                <w:bCs/>
              </w:rPr>
              <w:t>MV</w:t>
            </w:r>
            <w:r>
              <w:rPr>
                <w:rFonts w:ascii="Minion Pro" w:hAnsi="Minion Pro"/>
                <w:b/>
                <w:bCs/>
              </w:rPr>
              <w:t>P-As</w:t>
            </w:r>
            <w:r w:rsidRPr="00386016">
              <w:rPr>
                <w:rFonts w:ascii="Minion Pro" w:hAnsi="Minion Pro"/>
                <w:b/>
                <w:bCs/>
              </w:rPr>
              <w:t>H</w:t>
            </w:r>
            <w:r w:rsidRPr="00386016">
              <w:rPr>
                <w:rFonts w:ascii="Minion Pro" w:hAnsi="Minion Pro"/>
                <w:b/>
                <w:bCs/>
                <w:vertAlign w:val="subscript"/>
              </w:rPr>
              <w:t>3</w:t>
            </w:r>
          </w:p>
        </w:tc>
      </w:tr>
      <w:tr w:rsidR="00386016" w14:paraId="2777F946" w14:textId="77777777" w:rsidTr="001F1A0D">
        <w:trPr>
          <w:jc w:val="center"/>
        </w:trPr>
        <w:tc>
          <w:tcPr>
            <w:tcW w:w="9576" w:type="dxa"/>
            <w:gridSpan w:val="2"/>
            <w:vAlign w:val="center"/>
          </w:tcPr>
          <w:p w14:paraId="20744496" w14:textId="77777777" w:rsidR="00386016" w:rsidRPr="00630FC7" w:rsidRDefault="00386016" w:rsidP="00386016">
            <w:pPr>
              <w:spacing w:before="240" w:after="100" w:afterAutospacing="1"/>
              <w:jc w:val="center"/>
              <w:rPr>
                <w:rFonts w:ascii="Minion Pro" w:hAnsi="Minion Pro"/>
              </w:rPr>
            </w:pPr>
            <w:r>
              <w:rPr>
                <w:rFonts w:ascii="Minion Pro" w:hAnsi="Minion Pro"/>
                <w:b/>
                <w:bCs/>
              </w:rPr>
              <w:t>Figure S3</w:t>
            </w:r>
            <w:r w:rsidRPr="00630FC7">
              <w:rPr>
                <w:rFonts w:ascii="Minion Pro" w:hAnsi="Minion Pro"/>
                <w:b/>
                <w:bCs/>
              </w:rPr>
              <w:t xml:space="preserve">: </w:t>
            </w:r>
            <w:r>
              <w:rPr>
                <w:rFonts w:ascii="Minion Pro" w:hAnsi="Minion Pro"/>
              </w:rPr>
              <w:t>Projected DOS of (A) P-AsH</w:t>
            </w:r>
            <w:r>
              <w:rPr>
                <w:rFonts w:ascii="Minion Pro" w:hAnsi="Minion Pro"/>
                <w:vertAlign w:val="subscript"/>
              </w:rPr>
              <w:t>3</w:t>
            </w:r>
            <w:r>
              <w:rPr>
                <w:rFonts w:ascii="Minion Pro" w:hAnsi="Minion Pro"/>
              </w:rPr>
              <w:t xml:space="preserve"> and (B) MVP-AsH</w:t>
            </w:r>
            <w:r>
              <w:rPr>
                <w:rFonts w:ascii="Minion Pro" w:hAnsi="Minion Pro"/>
                <w:vertAlign w:val="subscript"/>
              </w:rPr>
              <w:t>3</w:t>
            </w:r>
            <w:r>
              <w:rPr>
                <w:rFonts w:ascii="Minion Pro" w:hAnsi="Minion Pro"/>
              </w:rPr>
              <w:t xml:space="preserve"> adsystem.</w:t>
            </w:r>
          </w:p>
        </w:tc>
      </w:tr>
    </w:tbl>
    <w:p w14:paraId="40A2B08C" w14:textId="77777777" w:rsidR="00C629AA" w:rsidRDefault="00C629AA"/>
    <w:sectPr w:rsidR="00C629AA" w:rsidSect="00F952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Minion Pro">
    <w:panose1 w:val="02040503050201020203"/>
    <w:charset w:val="00"/>
    <w:family w:val="roman"/>
    <w:notTrueType/>
    <w:pitch w:val="variable"/>
    <w:sig w:usb0="E00002AF" w:usb1="5000E07B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677F5A"/>
    <w:multiLevelType w:val="hybridMultilevel"/>
    <w:tmpl w:val="5A2A5E1C"/>
    <w:lvl w:ilvl="0" w:tplc="BDC6F966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5E10AE0"/>
    <w:multiLevelType w:val="hybridMultilevel"/>
    <w:tmpl w:val="60F62AAE"/>
    <w:lvl w:ilvl="0" w:tplc="F34C2D9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1882412">
    <w:abstractNumId w:val="1"/>
  </w:num>
  <w:num w:numId="2" w16cid:durableId="1741712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9AA"/>
    <w:rsid w:val="00386016"/>
    <w:rsid w:val="003A7885"/>
    <w:rsid w:val="005A677D"/>
    <w:rsid w:val="00630FC7"/>
    <w:rsid w:val="006573FF"/>
    <w:rsid w:val="00687753"/>
    <w:rsid w:val="00730754"/>
    <w:rsid w:val="00AF43EE"/>
    <w:rsid w:val="00B05E2D"/>
    <w:rsid w:val="00C629AA"/>
    <w:rsid w:val="00CA5660"/>
    <w:rsid w:val="00D3753D"/>
    <w:rsid w:val="00E63442"/>
    <w:rsid w:val="00E65A3E"/>
    <w:rsid w:val="00E67E79"/>
    <w:rsid w:val="00F95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383D4F"/>
  <w15:docId w15:val="{AE0B69F0-EFE0-45EE-B3A7-EC816B9AA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29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629AA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29AA"/>
    <w:rPr>
      <w:rFonts w:ascii="Tahoma" w:hAnsi="Tahoma" w:cs="Mangal"/>
      <w:sz w:val="16"/>
      <w:szCs w:val="14"/>
    </w:rPr>
  </w:style>
  <w:style w:type="paragraph" w:styleId="ListParagraph">
    <w:name w:val="List Paragraph"/>
    <w:basedOn w:val="Normal"/>
    <w:uiPriority w:val="34"/>
    <w:qFormat/>
    <w:rsid w:val="00386016"/>
    <w:pPr>
      <w:ind w:left="720"/>
      <w:contextualSpacing/>
    </w:pPr>
  </w:style>
  <w:style w:type="character" w:styleId="Hyperlink">
    <w:name w:val="Hyperlink"/>
    <w:rsid w:val="006573FF"/>
    <w:rPr>
      <w:color w:val="000080"/>
      <w:u w:val="single"/>
    </w:rPr>
  </w:style>
  <w:style w:type="paragraph" w:customStyle="1" w:styleId="Standard">
    <w:name w:val="Standard"/>
    <w:qFormat/>
    <w:rsid w:val="006573FF"/>
    <w:pPr>
      <w:widowControl w:val="0"/>
      <w:suppressAutoHyphens/>
      <w:spacing w:after="0" w:line="240" w:lineRule="auto"/>
      <w:textAlignment w:val="baseline"/>
    </w:pPr>
    <w:rPr>
      <w:rFonts w:ascii="Liberation Serif" w:eastAsia="Noto Serif CJK SC" w:hAnsi="Liberation Serif" w:cs="Lohit Devanagari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Adsorprion Energy (eV)</c:v>
                </c:pt>
              </c:strCache>
            </c:strRef>
          </c:tx>
          <c:spPr>
            <a:solidFill>
              <a:srgbClr val="004586"/>
            </a:solidFill>
            <a:ln w="0">
              <a:noFill/>
            </a:ln>
          </c:spPr>
          <c:invertIfNegative val="0"/>
          <c:dPt>
            <c:idx val="0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0-E68F-4520-A21F-FD267E1E5C72}"/>
              </c:ext>
            </c:extLst>
          </c:dPt>
          <c:dPt>
            <c:idx val="1"/>
            <c:invertIfNegative val="0"/>
            <c:bubble3D val="0"/>
            <c:spPr>
              <a:solidFill>
                <a:srgbClr val="FF972F"/>
              </a:solidFill>
              <a:ln w="0">
                <a:noFill/>
              </a:ln>
            </c:spPr>
            <c:extLst>
              <c:ext xmlns:c16="http://schemas.microsoft.com/office/drawing/2014/chart" uri="{C3380CC4-5D6E-409C-BE32-E72D297353CC}">
                <c16:uniqueId val="{00000002-E68F-4520-A21F-FD267E1E5C72}"/>
              </c:ext>
            </c:extLst>
          </c:dPt>
          <c:dPt>
            <c:idx val="3"/>
            <c:invertIfNegative val="0"/>
            <c:bubble3D val="0"/>
            <c:spPr>
              <a:solidFill>
                <a:srgbClr val="FF972F"/>
              </a:solidFill>
              <a:ln w="0">
                <a:noFill/>
              </a:ln>
            </c:spPr>
            <c:extLst>
              <c:ext xmlns:c16="http://schemas.microsoft.com/office/drawing/2014/chart" uri="{C3380CC4-5D6E-409C-BE32-E72D297353CC}">
                <c16:uniqueId val="{00000004-E68F-4520-A21F-FD267E1E5C72}"/>
              </c:ext>
            </c:extLst>
          </c:dPt>
          <c:dPt>
            <c:idx val="5"/>
            <c:invertIfNegative val="0"/>
            <c:bubble3D val="0"/>
            <c:spPr>
              <a:solidFill>
                <a:srgbClr val="FF972F"/>
              </a:solidFill>
              <a:ln w="0">
                <a:noFill/>
              </a:ln>
            </c:spPr>
            <c:extLst>
              <c:ext xmlns:c16="http://schemas.microsoft.com/office/drawing/2014/chart" uri="{C3380CC4-5D6E-409C-BE32-E72D297353CC}">
                <c16:uniqueId val="{00000006-E68F-4520-A21F-FD267E1E5C72}"/>
              </c:ext>
            </c:extLst>
          </c:dPt>
          <c:dPt>
            <c:idx val="7"/>
            <c:invertIfNegative val="0"/>
            <c:bubble3D val="0"/>
            <c:spPr>
              <a:solidFill>
                <a:srgbClr val="FF972F"/>
              </a:solidFill>
              <a:ln w="0">
                <a:noFill/>
              </a:ln>
            </c:spPr>
            <c:extLst>
              <c:ext xmlns:c16="http://schemas.microsoft.com/office/drawing/2014/chart" uri="{C3380CC4-5D6E-409C-BE32-E72D297353CC}">
                <c16:uniqueId val="{00000008-E68F-4520-A21F-FD267E1E5C72}"/>
              </c:ext>
            </c:extLst>
          </c:dPt>
          <c:dPt>
            <c:idx val="8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9-E68F-4520-A21F-FD267E1E5C72}"/>
              </c:ext>
            </c:extLst>
          </c:dPt>
          <c:dPt>
            <c:idx val="9"/>
            <c:invertIfNegative val="0"/>
            <c:bubble3D val="0"/>
            <c:spPr>
              <a:solidFill>
                <a:srgbClr val="FF972F"/>
              </a:solidFill>
              <a:ln w="0">
                <a:noFill/>
              </a:ln>
            </c:spPr>
            <c:extLst>
              <c:ext xmlns:c16="http://schemas.microsoft.com/office/drawing/2014/chart" uri="{C3380CC4-5D6E-409C-BE32-E72D297353CC}">
                <c16:uniqueId val="{0000000B-E68F-4520-A21F-FD267E1E5C72}"/>
              </c:ext>
            </c:extLst>
          </c:dPt>
          <c:dLbls>
            <c:dLbl>
              <c:idx val="0"/>
              <c:spPr/>
              <c:txPr>
                <a:bodyPr wrap="none"/>
                <a:lstStyle/>
                <a:p>
                  <a:pPr>
                    <a:defRPr sz="1000" b="0" strike="noStrike" spc="-1">
                      <a:solidFill>
                        <a:srgbClr val="000000"/>
                      </a:solidFill>
                      <a:latin typeface="Arial"/>
                    </a:defRPr>
                  </a:pPr>
                  <a:endParaRPr lang="en-US"/>
                </a:p>
              </c:txPr>
              <c:dLblPos val="outEnd"/>
              <c:showLegendKey val="0"/>
              <c:showVal val="0"/>
              <c:showCatName val="0"/>
              <c:showSerName val="0"/>
              <c:showPercent val="0"/>
              <c:showBubbleSiz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E68F-4520-A21F-FD267E1E5C72}"/>
                </c:ext>
              </c:extLst>
            </c:dLbl>
            <c:dLbl>
              <c:idx val="1"/>
              <c:spPr/>
              <c:txPr>
                <a:bodyPr wrap="none"/>
                <a:lstStyle/>
                <a:p>
                  <a:pPr>
                    <a:defRPr sz="1000" b="0" strike="noStrike" spc="-1">
                      <a:solidFill>
                        <a:srgbClr val="000000"/>
                      </a:solidFill>
                      <a:latin typeface="Arial"/>
                    </a:defRPr>
                  </a:pPr>
                  <a:endParaRPr lang="en-US"/>
                </a:p>
              </c:txPr>
              <c:dLblPos val="outEnd"/>
              <c:showLegendKey val="0"/>
              <c:showVal val="0"/>
              <c:showCatName val="0"/>
              <c:showSerName val="0"/>
              <c:showPercent val="0"/>
              <c:showBubbleSiz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E68F-4520-A21F-FD267E1E5C72}"/>
                </c:ext>
              </c:extLst>
            </c:dLbl>
            <c:dLbl>
              <c:idx val="3"/>
              <c:spPr/>
              <c:txPr>
                <a:bodyPr wrap="none"/>
                <a:lstStyle/>
                <a:p>
                  <a:pPr>
                    <a:defRPr sz="1000" b="0" strike="noStrike" spc="-1">
                      <a:solidFill>
                        <a:srgbClr val="000000"/>
                      </a:solidFill>
                      <a:latin typeface="Arial"/>
                    </a:defRPr>
                  </a:pPr>
                  <a:endParaRPr lang="en-US"/>
                </a:p>
              </c:txPr>
              <c:dLblPos val="outEnd"/>
              <c:showLegendKey val="0"/>
              <c:showVal val="0"/>
              <c:showCatName val="0"/>
              <c:showSerName val="0"/>
              <c:showPercent val="0"/>
              <c:showBubbleSiz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E68F-4520-A21F-FD267E1E5C72}"/>
                </c:ext>
              </c:extLst>
            </c:dLbl>
            <c:dLbl>
              <c:idx val="5"/>
              <c:spPr/>
              <c:txPr>
                <a:bodyPr wrap="none"/>
                <a:lstStyle/>
                <a:p>
                  <a:pPr>
                    <a:defRPr sz="1000" b="0" strike="noStrike" spc="-1">
                      <a:solidFill>
                        <a:srgbClr val="000000"/>
                      </a:solidFill>
                      <a:latin typeface="Arial"/>
                    </a:defRPr>
                  </a:pPr>
                  <a:endParaRPr lang="en-US"/>
                </a:p>
              </c:txPr>
              <c:dLblPos val="outEnd"/>
              <c:showLegendKey val="0"/>
              <c:showVal val="0"/>
              <c:showCatName val="0"/>
              <c:showSerName val="0"/>
              <c:showPercent val="0"/>
              <c:showBubbleSiz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E68F-4520-A21F-FD267E1E5C72}"/>
                </c:ext>
              </c:extLst>
            </c:dLbl>
            <c:dLbl>
              <c:idx val="7"/>
              <c:spPr/>
              <c:txPr>
                <a:bodyPr wrap="none"/>
                <a:lstStyle/>
                <a:p>
                  <a:pPr>
                    <a:defRPr sz="1000" b="0" strike="noStrike" spc="-1">
                      <a:solidFill>
                        <a:srgbClr val="000000"/>
                      </a:solidFill>
                      <a:latin typeface="Arial"/>
                    </a:defRPr>
                  </a:pPr>
                  <a:endParaRPr lang="en-US"/>
                </a:p>
              </c:txPr>
              <c:dLblPos val="outEnd"/>
              <c:showLegendKey val="0"/>
              <c:showVal val="0"/>
              <c:showCatName val="0"/>
              <c:showSerName val="0"/>
              <c:showPercent val="0"/>
              <c:showBubbleSiz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E68F-4520-A21F-FD267E1E5C72}"/>
                </c:ext>
              </c:extLst>
            </c:dLbl>
            <c:dLbl>
              <c:idx val="8"/>
              <c:spPr/>
              <c:txPr>
                <a:bodyPr wrap="none"/>
                <a:lstStyle/>
                <a:p>
                  <a:pPr>
                    <a:defRPr sz="1000" b="0" strike="noStrike" spc="-1">
                      <a:solidFill>
                        <a:srgbClr val="000000"/>
                      </a:solidFill>
                      <a:latin typeface="Arial"/>
                    </a:defRPr>
                  </a:pPr>
                  <a:endParaRPr lang="en-US"/>
                </a:p>
              </c:txPr>
              <c:dLblPos val="outEnd"/>
              <c:showLegendKey val="0"/>
              <c:showVal val="0"/>
              <c:showCatName val="0"/>
              <c:showSerName val="0"/>
              <c:showPercent val="0"/>
              <c:showBubbleSiz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E68F-4520-A21F-FD267E1E5C72}"/>
                </c:ext>
              </c:extLst>
            </c:dLbl>
            <c:dLbl>
              <c:idx val="9"/>
              <c:spPr/>
              <c:txPr>
                <a:bodyPr wrap="none"/>
                <a:lstStyle/>
                <a:p>
                  <a:pPr>
                    <a:defRPr sz="1000" b="0" strike="noStrike" spc="-1">
                      <a:solidFill>
                        <a:srgbClr val="000000"/>
                      </a:solidFill>
                      <a:latin typeface="Arial"/>
                    </a:defRPr>
                  </a:pPr>
                  <a:endParaRPr lang="en-US"/>
                </a:p>
              </c:txPr>
              <c:dLblPos val="outEnd"/>
              <c:showLegendKey val="0"/>
              <c:showVal val="0"/>
              <c:showCatName val="0"/>
              <c:showSerName val="0"/>
              <c:showPercent val="0"/>
              <c:showBubbleSiz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E68F-4520-A21F-FD267E1E5C7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none"/>
              <a:lstStyle/>
              <a:p>
                <a:pPr>
                  <a:defRPr sz="1000" b="0" strike="noStrike" spc="-1">
                    <a:solidFill>
                      <a:srgbClr val="000000"/>
                    </a:solidFill>
                    <a:latin typeface="Arial"/>
                    <a:ea typeface="DejaVu Sans"/>
                  </a:defRPr>
                </a:pPr>
                <a:endParaRPr lang="en-US"/>
              </a:p>
            </c:txPr>
            <c:dLblPos val="outEnd"/>
            <c:showLegendKey val="0"/>
            <c:showVal val="0"/>
            <c:showCatName val="0"/>
            <c:showSerName val="0"/>
            <c:showPercent val="0"/>
            <c:showBubbleSize val="1"/>
            <c:separator> </c:separator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categories</c:f>
              <c:strCache>
                <c:ptCount val="10"/>
                <c:pt idx="0">
                  <c:v>P-NH3</c:v>
                </c:pt>
                <c:pt idx="1">
                  <c:v>MVP-NH3</c:v>
                </c:pt>
                <c:pt idx="2">
                  <c:v>P-AsH3</c:v>
                </c:pt>
                <c:pt idx="3">
                  <c:v>MVP-AsH3</c:v>
                </c:pt>
                <c:pt idx="4">
                  <c:v>P-PH3</c:v>
                </c:pt>
                <c:pt idx="5">
                  <c:v>MVP-PH3</c:v>
                </c:pt>
                <c:pt idx="6">
                  <c:v>P-CO2</c:v>
                </c:pt>
                <c:pt idx="7">
                  <c:v>MVP-CO2</c:v>
                </c:pt>
                <c:pt idx="8">
                  <c:v>P-CH4</c:v>
                </c:pt>
                <c:pt idx="9">
                  <c:v>MVP-CH4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10"/>
                <c:pt idx="0">
                  <c:v>-0.16600000000000001</c:v>
                </c:pt>
                <c:pt idx="1">
                  <c:v>-0.34300000000000003</c:v>
                </c:pt>
                <c:pt idx="2">
                  <c:v>-0.16300000000000001</c:v>
                </c:pt>
                <c:pt idx="3">
                  <c:v>-4.4999999999999998E-2</c:v>
                </c:pt>
                <c:pt idx="4">
                  <c:v>-0.157</c:v>
                </c:pt>
                <c:pt idx="5">
                  <c:v>-0.27200000000000002</c:v>
                </c:pt>
                <c:pt idx="6">
                  <c:v>-0.112</c:v>
                </c:pt>
                <c:pt idx="7">
                  <c:v>-0.52200000000000002</c:v>
                </c:pt>
                <c:pt idx="8">
                  <c:v>-0.104</c:v>
                </c:pt>
                <c:pt idx="9">
                  <c:v>-0.51900000000000002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E68F-4520-A21F-FD267E1E5C7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axId val="135303936"/>
        <c:axId val="135305856"/>
      </c:barChart>
      <c:catAx>
        <c:axId val="135303936"/>
        <c:scaling>
          <c:orientation val="minMax"/>
        </c:scaling>
        <c:delete val="0"/>
        <c:axPos val="b"/>
        <c:majorGridlines>
          <c:spPr>
            <a:ln w="0">
              <a:solidFill>
                <a:srgbClr val="B3B3B3"/>
              </a:solidFill>
            </a:ln>
          </c:spPr>
        </c:majorGridlines>
        <c:title>
          <c:tx>
            <c:rich>
              <a:bodyPr rot="0"/>
              <a:lstStyle/>
              <a:p>
                <a:pPr>
                  <a:defRPr lang="en-US" sz="1100" b="1" i="0" strike="noStrike" spc="-1" baseline="0">
                    <a:solidFill>
                      <a:srgbClr val="000000"/>
                    </a:solidFill>
                    <a:latin typeface="Minion Pro" pitchFamily="18" charset="0"/>
                    <a:ea typeface="DejaVu Sans"/>
                  </a:defRPr>
                </a:pPr>
                <a:r>
                  <a:rPr lang="en-US" sz="1100" b="1" i="0" strike="noStrike" spc="-1" baseline="0">
                    <a:solidFill>
                      <a:srgbClr val="000000"/>
                    </a:solidFill>
                    <a:latin typeface="Minion Pro" pitchFamily="18" charset="0"/>
                    <a:ea typeface="DejaVu Sans"/>
                  </a:rPr>
                  <a:t>Structure</a:t>
                </a:r>
              </a:p>
            </c:rich>
          </c:tx>
          <c:layout>
            <c:manualLayout>
              <c:xMode val="edge"/>
              <c:yMode val="edge"/>
              <c:x val="0.49497405847524872"/>
              <c:y val="0.90072505146970305"/>
            </c:manualLayout>
          </c:layout>
          <c:overlay val="0"/>
          <c:spPr>
            <a:noFill/>
            <a:ln w="0">
              <a:noFill/>
            </a:ln>
          </c:spPr>
        </c:title>
        <c:numFmt formatCode="General" sourceLinked="0"/>
        <c:majorTickMark val="in"/>
        <c:minorTickMark val="none"/>
        <c:tickLblPos val="high"/>
        <c:spPr>
          <a:ln w="0">
            <a:solidFill>
              <a:srgbClr val="000000"/>
            </a:solidFill>
          </a:ln>
        </c:spPr>
        <c:txPr>
          <a:bodyPr rot="-3900000"/>
          <a:lstStyle/>
          <a:p>
            <a:pPr>
              <a:defRPr sz="1100" b="1" i="0" strike="noStrike" spc="-1" baseline="0">
                <a:solidFill>
                  <a:srgbClr val="000000"/>
                </a:solidFill>
                <a:latin typeface="Minion Pro" pitchFamily="18" charset="0"/>
                <a:ea typeface="DejaVu Sans"/>
              </a:defRPr>
            </a:pPr>
            <a:endParaRPr lang="en-US"/>
          </a:p>
        </c:txPr>
        <c:crossAx val="135305856"/>
        <c:crosses val="autoZero"/>
        <c:auto val="1"/>
        <c:lblAlgn val="ctr"/>
        <c:lblOffset val="100"/>
        <c:noMultiLvlLbl val="0"/>
      </c:catAx>
      <c:valAx>
        <c:axId val="135305856"/>
        <c:scaling>
          <c:orientation val="minMax"/>
        </c:scaling>
        <c:delete val="0"/>
        <c:axPos val="l"/>
        <c:majorGridlines>
          <c:spPr>
            <a:ln w="0">
              <a:solidFill>
                <a:srgbClr val="B2B2B2"/>
              </a:solidFill>
            </a:ln>
          </c:spPr>
        </c:majorGridlines>
        <c:title>
          <c:tx>
            <c:rich>
              <a:bodyPr rot="-5400000"/>
              <a:lstStyle/>
              <a:p>
                <a:pPr>
                  <a:defRPr lang="en-US" sz="1100" b="1" i="0" strike="noStrike" spc="-1" baseline="0">
                    <a:solidFill>
                      <a:srgbClr val="000000"/>
                    </a:solidFill>
                    <a:latin typeface="Minion Pro" pitchFamily="18" charset="0"/>
                    <a:ea typeface="DejaVu Sans"/>
                  </a:defRPr>
                </a:pPr>
                <a:r>
                  <a:rPr lang="en-US" sz="1100" b="1" i="0" strike="noStrike" spc="-1" baseline="0">
                    <a:solidFill>
                      <a:srgbClr val="000000"/>
                    </a:solidFill>
                    <a:latin typeface="Minion Pro" pitchFamily="18" charset="0"/>
                    <a:ea typeface="DejaVu Sans"/>
                  </a:rPr>
                  <a:t>Interaction energy (eV)</a:t>
                </a:r>
              </a:p>
            </c:rich>
          </c:tx>
          <c:layout>
            <c:manualLayout>
              <c:xMode val="edge"/>
              <c:yMode val="edge"/>
              <c:x val="1.3529342860489599E-2"/>
              <c:y val="0.29647738637626397"/>
            </c:manualLayout>
          </c:layout>
          <c:overlay val="0"/>
          <c:spPr>
            <a:noFill/>
            <a:ln w="0">
              <a:noFill/>
            </a:ln>
          </c:spPr>
        </c:title>
        <c:numFmt formatCode="General" sourceLinked="0"/>
        <c:majorTickMark val="out"/>
        <c:minorTickMark val="none"/>
        <c:tickLblPos val="nextTo"/>
        <c:spPr>
          <a:ln w="0">
            <a:solidFill>
              <a:srgbClr val="000000"/>
            </a:solidFill>
          </a:ln>
        </c:spPr>
        <c:txPr>
          <a:bodyPr/>
          <a:lstStyle/>
          <a:p>
            <a:pPr>
              <a:defRPr sz="1100" b="1" i="0" strike="noStrike" spc="-1" baseline="0">
                <a:solidFill>
                  <a:srgbClr val="000000"/>
                </a:solidFill>
                <a:latin typeface="Minion Pro" pitchFamily="18" charset="0"/>
                <a:ea typeface="DejaVu Sans"/>
              </a:defRPr>
            </a:pPr>
            <a:endParaRPr lang="en-US"/>
          </a:p>
        </c:txPr>
        <c:crossAx val="135303936"/>
        <c:crosses val="autoZero"/>
        <c:crossBetween val="between"/>
      </c:valAx>
      <c:spPr>
        <a:noFill/>
        <a:ln w="25560">
          <a:solidFill>
            <a:srgbClr val="000000"/>
          </a:solidFill>
          <a:round/>
        </a:ln>
      </c:spPr>
    </c:plotArea>
    <c:plotVisOnly val="1"/>
    <c:dispBlanksAs val="gap"/>
    <c:showDLblsOverMax val="1"/>
  </c:chart>
  <c:spPr>
    <a:solidFill>
      <a:srgbClr val="FFFFFF"/>
    </a:solidFill>
    <a:ln w="0">
      <a:noFill/>
    </a:ln>
  </c:spPr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Tech Science Press</cp:lastModifiedBy>
  <cp:revision>4</cp:revision>
  <dcterms:created xsi:type="dcterms:W3CDTF">2025-11-24T04:43:00Z</dcterms:created>
  <dcterms:modified xsi:type="dcterms:W3CDTF">2025-12-25T09:31:00Z</dcterms:modified>
</cp:coreProperties>
</file>