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EB7A" w14:textId="77777777" w:rsidR="00E43365" w:rsidRPr="00E43365" w:rsidRDefault="00E43365" w:rsidP="00E43365">
      <w:pPr>
        <w:pStyle w:val="TSP21heading1"/>
      </w:pPr>
      <w:r w:rsidRPr="00E43365">
        <w:t xml:space="preserve">Supplementary Materials and Methods </w:t>
      </w:r>
    </w:p>
    <w:p w14:paraId="0D556517" w14:textId="473EC74E" w:rsidR="00E43365" w:rsidRPr="00E43365" w:rsidRDefault="00E43365" w:rsidP="00E43365">
      <w:pPr>
        <w:pStyle w:val="TSP52figure"/>
      </w:pPr>
      <w:r w:rsidRPr="00E43365">
        <w:rPr>
          <w:noProof/>
        </w:rPr>
        <w:drawing>
          <wp:inline distT="0" distB="0" distL="0" distR="0" wp14:anchorId="4E70CFB4" wp14:editId="50A2F60B">
            <wp:extent cx="2456379" cy="2701697"/>
            <wp:effectExtent l="0" t="0" r="127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7" t="12083" r="6941" b="1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954" cy="2723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43CBB6" w14:textId="77777777" w:rsidR="00E43365" w:rsidRPr="00E43365" w:rsidRDefault="00E43365" w:rsidP="00E43365">
      <w:pPr>
        <w:pStyle w:val="TSP32textnoindent"/>
      </w:pPr>
      <w:r w:rsidRPr="00E43365">
        <w:rPr>
          <w:b/>
        </w:rPr>
        <w:t>Supplemental Figure 1: MMC effect Du145 cell migration co-cultured with B cells.</w:t>
      </w:r>
      <w:r w:rsidRPr="00E43365">
        <w:t xml:space="preserve"> Treatment of mitomycin C (MMC) in the co-culture system for Du145 cells that were cultured with B cells. For the treatment dose and duration, see Section 2.2 of Materials and Methods. *: </w:t>
      </w:r>
      <w:r w:rsidRPr="00E43365">
        <w:rPr>
          <w:i/>
          <w:iCs/>
        </w:rPr>
        <w:t>p</w:t>
      </w:r>
      <w:r w:rsidRPr="00E43365">
        <w:t xml:space="preserve">-value &lt; 0.05 as compared to the DMSO-treated prostate cancer cells that were cultured alone (control). </w:t>
      </w:r>
    </w:p>
    <w:p w14:paraId="4AEAE493" w14:textId="77777777" w:rsidR="00E43365" w:rsidRPr="00E43365" w:rsidRDefault="00E43365" w:rsidP="00E43365">
      <w:pPr>
        <w:pStyle w:val="TSP52figure"/>
      </w:pPr>
      <w:r w:rsidRPr="00E43365">
        <w:rPr>
          <w:noProof/>
        </w:rPr>
        <w:drawing>
          <wp:inline distT="0" distB="0" distL="0" distR="0" wp14:anchorId="5B8C9AFC" wp14:editId="0619AFBA">
            <wp:extent cx="2694940" cy="3480179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1" t="7660" r="38192" b="52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299" cy="3490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4FC4FA" w14:textId="77777777" w:rsidR="00E43365" w:rsidRPr="00E43365" w:rsidRDefault="00E43365" w:rsidP="00E43365">
      <w:pPr>
        <w:pStyle w:val="TSP32textnoindent"/>
      </w:pPr>
      <w:r w:rsidRPr="00E43365">
        <w:rPr>
          <w:b/>
        </w:rPr>
        <w:t>Supplemental Figure</w:t>
      </w:r>
      <w:r w:rsidRPr="00E43365">
        <w:rPr>
          <w:rFonts w:eastAsia="宋体"/>
          <w:b/>
          <w:lang w:eastAsia="zh-CN"/>
        </w:rPr>
        <w:t xml:space="preserve"> </w:t>
      </w:r>
      <w:r w:rsidRPr="00E43365">
        <w:rPr>
          <w:b/>
        </w:rPr>
        <w:t>2: Effect of MMC on cell migration of LNCaP cell treated with recombinant protein IL-6, IL-10, or CCL5.</w:t>
      </w:r>
      <w:r w:rsidRPr="00E43365">
        <w:t xml:space="preserve"> LNCaP cells were treated with the indicated recombinant protein IL-6, IL-10 or CCL5 in the presence or absence of mitomycin C (MMC) for evaluating their migratory abilities in </w:t>
      </w:r>
      <w:proofErr w:type="spellStart"/>
      <w:r w:rsidRPr="00E43365">
        <w:t>Transwell</w:t>
      </w:r>
      <w:proofErr w:type="spellEnd"/>
      <w:r w:rsidRPr="00E43365">
        <w:rPr>
          <w:vertAlign w:val="superscript"/>
        </w:rPr>
        <w:t>®</w:t>
      </w:r>
      <w:r w:rsidRPr="00E43365">
        <w:t xml:space="preserve"> assays. For the treatment dose and </w:t>
      </w:r>
      <w:r w:rsidRPr="00E43365">
        <w:lastRenderedPageBreak/>
        <w:t xml:space="preserve">duration, see Section 2.2 in the Materials and Methods. *: </w:t>
      </w:r>
      <w:r w:rsidRPr="00E43365">
        <w:rPr>
          <w:i/>
          <w:iCs/>
        </w:rPr>
        <w:t>p</w:t>
      </w:r>
      <w:r w:rsidRPr="00E43365">
        <w:t>-value &lt; 0.05 as compared to the control/DMSO group.</w:t>
      </w:r>
    </w:p>
    <w:p w14:paraId="408D69DB" w14:textId="77777777" w:rsidR="00E43365" w:rsidRPr="00E43365" w:rsidRDefault="00E43365" w:rsidP="00E43365">
      <w:pPr>
        <w:spacing w:before="100" w:beforeAutospacing="1" w:after="100" w:afterAutospacing="1" w:line="360" w:lineRule="auto"/>
        <w:rPr>
          <w:rFonts w:ascii="Minion Pro" w:hAnsi="Minion Pro" w:cs="Times New Roman"/>
          <w:b/>
          <w:bCs/>
          <w:color w:val="000000" w:themeColor="text1"/>
        </w:rPr>
      </w:pPr>
      <w:r w:rsidRPr="00E43365">
        <w:rPr>
          <w:rFonts w:ascii="Minion Pro" w:hAnsi="Minion Pro" w:cs="Times New Roman"/>
          <w:b/>
          <w:bCs/>
          <w:color w:val="000000" w:themeColor="text1"/>
        </w:rPr>
        <w:t>S1 Enzyme-linked immunosorbent assay (ELISA)</w:t>
      </w:r>
    </w:p>
    <w:p w14:paraId="0C22D665" w14:textId="77777777" w:rsidR="00E43365" w:rsidRPr="00E43365" w:rsidRDefault="00E43365" w:rsidP="00E43365">
      <w:pPr>
        <w:pStyle w:val="TSP31text"/>
        <w:rPr>
          <w:rFonts w:eastAsiaTheme="minorEastAsia"/>
          <w:lang w:eastAsia="zh-CN"/>
        </w:rPr>
      </w:pPr>
      <w:r w:rsidRPr="00E43365">
        <w:t xml:space="preserve">Human ELISA kits were used for detecting levels of secreted IL-6, IL-10, and CCL5. ELISA kits for human IL-10 (Cat. # RAB0244) and human RANTES/CCL5 (Cat. # RAB007) were purchased from Sigma (St. Louis, Missouri, USA). Human IL-6 ELISA kit (Cat. # 501030) was purchased from Cayman Chemical Company (Ann Arbor, Michigan, USA).  The assays were carried out according to the manufacturer’s protocols using Agilent </w:t>
      </w:r>
      <w:proofErr w:type="spellStart"/>
      <w:r w:rsidRPr="00E43365">
        <w:t>BioTek</w:t>
      </w:r>
      <w:proofErr w:type="spellEnd"/>
      <w:r w:rsidRPr="00E43365">
        <w:t xml:space="preserve"> Synergy Neo2 Hybrid Multi-Mode Reader (Agilent Technologies, Inc., Santa Clara, California, USA).</w:t>
      </w:r>
    </w:p>
    <w:p w14:paraId="2F87A062" w14:textId="22771F28" w:rsidR="00E43365" w:rsidRPr="00E43365" w:rsidRDefault="00E43365" w:rsidP="00E43365">
      <w:pPr>
        <w:spacing w:before="100" w:beforeAutospacing="1" w:after="100" w:afterAutospacing="1" w:line="360" w:lineRule="auto"/>
        <w:jc w:val="center"/>
        <w:rPr>
          <w:rFonts w:ascii="Minion Pro" w:hAnsi="Minion Pro" w:cs="Times New Roman"/>
          <w:b/>
          <w:bCs/>
          <w:color w:val="000000" w:themeColor="text1"/>
        </w:rPr>
      </w:pPr>
      <w:r w:rsidRPr="00E43365">
        <w:rPr>
          <w:rFonts w:ascii="Minion Pro" w:hAnsi="Minion Pro"/>
          <w:b/>
          <w:color w:val="000000" w:themeColor="text1"/>
        </w:rPr>
        <w:t xml:space="preserve">Supplemental </w:t>
      </w:r>
      <w:r w:rsidRPr="00E43365">
        <w:rPr>
          <w:rFonts w:ascii="Minion Pro" w:hAnsi="Minion Pro" w:cs="Times New Roman"/>
          <w:b/>
          <w:bCs/>
          <w:color w:val="000000" w:themeColor="text1"/>
        </w:rPr>
        <w:t>Table 1Detected levels of cytokines secreted in the culture media.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E43365" w:rsidRPr="00E43365" w14:paraId="55EABF6A" w14:textId="77777777" w:rsidTr="00E43365">
        <w:trPr>
          <w:jc w:val="center"/>
        </w:trPr>
        <w:tc>
          <w:tcPr>
            <w:tcW w:w="341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01209238" w14:textId="3F15BFDA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b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b/>
                <w:color w:val="000000" w:themeColor="text1"/>
                <w:sz w:val="20"/>
              </w:rPr>
              <w:t>Secretion Factors/Conditions</w:t>
            </w:r>
          </w:p>
        </w:tc>
        <w:tc>
          <w:tcPr>
            <w:tcW w:w="341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59960DD0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b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b/>
                <w:color w:val="000000" w:themeColor="text1"/>
                <w:sz w:val="20"/>
              </w:rPr>
              <w:t>LNCaP cells only</w:t>
            </w:r>
          </w:p>
        </w:tc>
        <w:tc>
          <w:tcPr>
            <w:tcW w:w="341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6C9CC97D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b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b/>
                <w:color w:val="000000" w:themeColor="text1"/>
                <w:sz w:val="20"/>
              </w:rPr>
              <w:t>LNCaP cells and B cells</w:t>
            </w:r>
          </w:p>
        </w:tc>
      </w:tr>
      <w:tr w:rsidR="00E43365" w:rsidRPr="00E43365" w14:paraId="6BD9943F" w14:textId="77777777" w:rsidTr="00E43365">
        <w:trPr>
          <w:jc w:val="center"/>
        </w:trPr>
        <w:tc>
          <w:tcPr>
            <w:tcW w:w="3416" w:type="dxa"/>
            <w:tcBorders>
              <w:top w:val="single" w:sz="4" w:space="0" w:color="auto"/>
            </w:tcBorders>
            <w:noWrap/>
            <w:vAlign w:val="center"/>
          </w:tcPr>
          <w:p w14:paraId="29BE1ADA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Interleukin-6 (IL-6)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noWrap/>
            <w:vAlign w:val="center"/>
          </w:tcPr>
          <w:p w14:paraId="7D18F2C3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0.04 ng/mL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noWrap/>
            <w:vAlign w:val="center"/>
          </w:tcPr>
          <w:p w14:paraId="41260D50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0.88 ng/mL</w:t>
            </w:r>
          </w:p>
        </w:tc>
      </w:tr>
      <w:tr w:rsidR="00E43365" w:rsidRPr="00E43365" w14:paraId="4EA986D7" w14:textId="77777777" w:rsidTr="00E43365">
        <w:trPr>
          <w:jc w:val="center"/>
        </w:trPr>
        <w:tc>
          <w:tcPr>
            <w:tcW w:w="3416" w:type="dxa"/>
            <w:noWrap/>
            <w:vAlign w:val="center"/>
          </w:tcPr>
          <w:p w14:paraId="15191B18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Interleukin-10 (IL-10)</w:t>
            </w:r>
          </w:p>
        </w:tc>
        <w:tc>
          <w:tcPr>
            <w:tcW w:w="3416" w:type="dxa"/>
            <w:noWrap/>
            <w:vAlign w:val="center"/>
          </w:tcPr>
          <w:p w14:paraId="7F3111E6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0.00 ng/mL</w:t>
            </w:r>
          </w:p>
        </w:tc>
        <w:tc>
          <w:tcPr>
            <w:tcW w:w="3416" w:type="dxa"/>
            <w:noWrap/>
            <w:vAlign w:val="center"/>
          </w:tcPr>
          <w:p w14:paraId="1888AEE0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2.12 ng/mL</w:t>
            </w:r>
          </w:p>
        </w:tc>
      </w:tr>
      <w:tr w:rsidR="00E43365" w:rsidRPr="00E43365" w14:paraId="65E5EBB6" w14:textId="77777777" w:rsidTr="00E43365">
        <w:trPr>
          <w:jc w:val="center"/>
        </w:trPr>
        <w:tc>
          <w:tcPr>
            <w:tcW w:w="3416" w:type="dxa"/>
            <w:noWrap/>
            <w:vAlign w:val="center"/>
          </w:tcPr>
          <w:p w14:paraId="58A6BA2D" w14:textId="0089326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 xml:space="preserve">RANTES (CCL5) </w:t>
            </w:r>
          </w:p>
        </w:tc>
        <w:tc>
          <w:tcPr>
            <w:tcW w:w="3416" w:type="dxa"/>
            <w:noWrap/>
            <w:vAlign w:val="center"/>
          </w:tcPr>
          <w:p w14:paraId="0F41228C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0.00 ng/mL</w:t>
            </w:r>
          </w:p>
        </w:tc>
        <w:tc>
          <w:tcPr>
            <w:tcW w:w="3416" w:type="dxa"/>
            <w:noWrap/>
            <w:vAlign w:val="center"/>
          </w:tcPr>
          <w:p w14:paraId="50D7124D" w14:textId="77777777" w:rsidR="00E43365" w:rsidRPr="00E43365" w:rsidRDefault="00E43365" w:rsidP="00E43365">
            <w:pPr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Minion Pro" w:hAnsi="Minion Pro" w:cs="Times New Roman"/>
                <w:color w:val="000000" w:themeColor="text1"/>
                <w:sz w:val="20"/>
              </w:rPr>
            </w:pPr>
            <w:r w:rsidRPr="00E43365">
              <w:rPr>
                <w:rFonts w:ascii="Minion Pro" w:hAnsi="Minion Pro" w:cs="Times New Roman"/>
                <w:color w:val="000000" w:themeColor="text1"/>
                <w:sz w:val="20"/>
              </w:rPr>
              <w:t>0.59 ng/mL</w:t>
            </w:r>
          </w:p>
        </w:tc>
      </w:tr>
    </w:tbl>
    <w:p w14:paraId="26D62AB1" w14:textId="77777777" w:rsidR="00E43365" w:rsidRPr="00E43365" w:rsidRDefault="00E43365" w:rsidP="00E43365">
      <w:pPr>
        <w:spacing w:after="0" w:line="360" w:lineRule="auto"/>
        <w:rPr>
          <w:rFonts w:ascii="Minion Pro" w:hAnsi="Minion Pro" w:cs="Times New Roman"/>
          <w:color w:val="000000" w:themeColor="text1"/>
        </w:rPr>
      </w:pPr>
    </w:p>
    <w:sectPr w:rsidR="00E43365" w:rsidRPr="00E43365" w:rsidSect="0075499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777678276">
    <w:abstractNumId w:val="3"/>
  </w:num>
  <w:num w:numId="2" w16cid:durableId="889414082">
    <w:abstractNumId w:val="0"/>
  </w:num>
  <w:num w:numId="3" w16cid:durableId="427427834">
    <w:abstractNumId w:val="1"/>
  </w:num>
  <w:num w:numId="4" w16cid:durableId="997921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365"/>
    <w:rsid w:val="002F333B"/>
    <w:rsid w:val="00703995"/>
    <w:rsid w:val="00754991"/>
    <w:rsid w:val="00AD1F60"/>
    <w:rsid w:val="00B663D4"/>
    <w:rsid w:val="00C23ACB"/>
    <w:rsid w:val="00E43365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91999"/>
  <w15:chartTrackingRefBased/>
  <w15:docId w15:val="{98A0B05D-A3DC-4BA8-8E92-B6BD7213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C23ACB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C23ACB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C23ACB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C23ACB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C23ACB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C23ACB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C23ACB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C23ACB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lang w:eastAsia="de-DE" w:bidi="en-US"/>
      <w14:ligatures w14:val="none"/>
    </w:rPr>
  </w:style>
  <w:style w:type="paragraph" w:customStyle="1" w:styleId="TSP22heading2">
    <w:name w:val="TSP_2.2_heading2"/>
    <w:qFormat/>
    <w:rsid w:val="00C23ACB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23heading3">
    <w:name w:val="TSP_2.3_heading3"/>
    <w:qFormat/>
    <w:rsid w:val="00C23ACB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31text">
    <w:name w:val="TSP_3.1_tex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C23ACB"/>
    <w:pPr>
      <w:ind w:firstLine="0"/>
    </w:pPr>
  </w:style>
  <w:style w:type="paragraph" w:customStyle="1" w:styleId="TSP33textspaceafter">
    <w:name w:val="TSP_3.3_text_space_after"/>
    <w:qFormat/>
    <w:rsid w:val="00C23ACB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C23ACB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C23ACB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7itemize">
    <w:name w:val="TSP_3.7_itemize"/>
    <w:qFormat/>
    <w:rsid w:val="00C23AC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8bullet">
    <w:name w:val="TSP_3.8_bullet"/>
    <w:qFormat/>
    <w:rsid w:val="00C23AC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9equation">
    <w:name w:val="TSP_3.9_equation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C23ACB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C23ACB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C23ACB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C23ACB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C23ACB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C23ACB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C23ACB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  <w14:ligatures w14:val="none"/>
    </w:rPr>
  </w:style>
  <w:style w:type="paragraph" w:customStyle="1" w:styleId="TSP62BackMatter">
    <w:name w:val="TSP_6.2_BackMatter"/>
    <w:qFormat/>
    <w:rsid w:val="00C23ACB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C23ACB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C23ACB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C23ACB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C23ACB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C23ACB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82proof">
    <w:name w:val="TSP_8.2_proof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C23ACB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footer">
    <w:name w:val="TSP_foot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C23ACB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C23ACB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C23ACB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headertsplogo">
    <w:name w:val="TSP_header_tsp_logo"/>
    <w:qFormat/>
    <w:rsid w:val="00C23ACB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text">
    <w:name w:val="TSP_text"/>
    <w:qFormat/>
    <w:rsid w:val="00C23ACB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title">
    <w:name w:val="TSP_title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table" w:styleId="TableGrid">
    <w:name w:val="Table Grid"/>
    <w:basedOn w:val="TableNormal"/>
    <w:uiPriority w:val="39"/>
    <w:rsid w:val="00E43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1</cp:revision>
  <dcterms:created xsi:type="dcterms:W3CDTF">2025-12-29T01:43:00Z</dcterms:created>
  <dcterms:modified xsi:type="dcterms:W3CDTF">2025-12-29T01:51:00Z</dcterms:modified>
</cp:coreProperties>
</file>