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971C8">
      <w:pPr>
        <w:pStyle w:val="3"/>
        <w:rPr>
          <w:rFonts w:ascii="Arial"/>
        </w:rPr>
      </w:pPr>
      <w:r>
        <w:rPr>
          <w:rFonts w:ascii="Arial"/>
        </w:rPr>
        <w:drawing>
          <wp:inline distT="0" distB="0" distL="0" distR="0">
            <wp:extent cx="6033135" cy="2433955"/>
            <wp:effectExtent l="0" t="0" r="5715" b="4445"/>
            <wp:docPr id="1437869164" name="그림 1" descr="텍스트, 도표, 스케치, 기술 도면이(가) 표시된 사진&#10;&#10;AI 생성 콘텐츠는 정확하지 않을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869164" name="그림 1" descr="텍스트, 도표, 스케치, 기술 도면이(가) 표시된 사진&#10;&#10;AI 생성 콘텐츠는 정확하지 않을 수 있습니다.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33135" cy="243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971CB">
      <w:pPr>
        <w:pStyle w:val="3"/>
        <w:spacing w:before="154"/>
        <w:rPr>
          <w:rFonts w:ascii="Arial" w:eastAsia="Malgun Gothic"/>
          <w:lang w:eastAsia="ko-KR"/>
        </w:rPr>
      </w:pPr>
    </w:p>
    <w:p w14:paraId="3B8971CC">
      <w:pPr>
        <w:pStyle w:val="3"/>
        <w:spacing w:before="1"/>
        <w:ind w:left="144"/>
      </w:pPr>
      <w:r>
        <w:rPr>
          <w:color w:val="050100"/>
        </w:rPr>
        <w:t>Supplementary</w:t>
      </w:r>
      <w:r>
        <w:rPr>
          <w:color w:val="050100"/>
          <w:spacing w:val="16"/>
        </w:rPr>
        <w:t xml:space="preserve"> </w:t>
      </w:r>
      <w:r>
        <w:rPr>
          <w:color w:val="050100"/>
        </w:rPr>
        <w:t>Figure</w:t>
      </w:r>
      <w:r>
        <w:rPr>
          <w:color w:val="050100"/>
          <w:spacing w:val="16"/>
        </w:rPr>
        <w:t xml:space="preserve"> </w:t>
      </w:r>
      <w:r>
        <w:rPr>
          <w:color w:val="050100"/>
        </w:rPr>
        <w:t>S1.</w:t>
      </w:r>
      <w:r>
        <w:rPr>
          <w:color w:val="050100"/>
          <w:spacing w:val="17"/>
        </w:rPr>
        <w:t xml:space="preserve"> </w:t>
      </w:r>
      <w:r>
        <w:rPr>
          <w:color w:val="050100"/>
        </w:rPr>
        <w:t>Basal</w:t>
      </w:r>
      <w:r>
        <w:rPr>
          <w:color w:val="050100"/>
          <w:spacing w:val="16"/>
        </w:rPr>
        <w:t xml:space="preserve"> </w:t>
      </w:r>
      <w:r>
        <w:rPr>
          <w:color w:val="050100"/>
        </w:rPr>
        <w:t>PDE1A</w:t>
      </w:r>
      <w:r>
        <w:rPr>
          <w:color w:val="050100"/>
          <w:spacing w:val="17"/>
        </w:rPr>
        <w:t xml:space="preserve"> </w:t>
      </w:r>
      <w:r>
        <w:rPr>
          <w:color w:val="050100"/>
        </w:rPr>
        <w:t>expression</w:t>
      </w:r>
      <w:r>
        <w:rPr>
          <w:color w:val="050100"/>
          <w:spacing w:val="16"/>
        </w:rPr>
        <w:t xml:space="preserve"> </w:t>
      </w:r>
      <w:r>
        <w:rPr>
          <w:color w:val="050100"/>
        </w:rPr>
        <w:t>and</w:t>
      </w:r>
      <w:r>
        <w:rPr>
          <w:color w:val="050100"/>
          <w:spacing w:val="17"/>
        </w:rPr>
        <w:t xml:space="preserve"> </w:t>
      </w:r>
      <w:r>
        <w:rPr>
          <w:color w:val="050100"/>
        </w:rPr>
        <w:t>knockdown</w:t>
      </w:r>
      <w:r>
        <w:rPr>
          <w:color w:val="050100"/>
          <w:spacing w:val="16"/>
        </w:rPr>
        <w:t xml:space="preserve"> </w:t>
      </w:r>
      <w:r>
        <w:rPr>
          <w:color w:val="050100"/>
        </w:rPr>
        <w:t>efficiency</w:t>
      </w:r>
      <w:r>
        <w:rPr>
          <w:color w:val="050100"/>
          <w:spacing w:val="17"/>
        </w:rPr>
        <w:t xml:space="preserve"> </w:t>
      </w:r>
      <w:r>
        <w:rPr>
          <w:color w:val="050100"/>
        </w:rPr>
        <w:t>in</w:t>
      </w:r>
      <w:r>
        <w:rPr>
          <w:color w:val="050100"/>
          <w:spacing w:val="16"/>
        </w:rPr>
        <w:t xml:space="preserve"> </w:t>
      </w:r>
      <w:r>
        <w:rPr>
          <w:color w:val="050100"/>
        </w:rPr>
        <w:t>ovarian</w:t>
      </w:r>
      <w:r>
        <w:rPr>
          <w:color w:val="050100"/>
          <w:spacing w:val="16"/>
        </w:rPr>
        <w:t xml:space="preserve"> </w:t>
      </w:r>
      <w:r>
        <w:rPr>
          <w:color w:val="050100"/>
        </w:rPr>
        <w:t>cancer</w:t>
      </w:r>
      <w:r>
        <w:rPr>
          <w:color w:val="050100"/>
          <w:spacing w:val="17"/>
        </w:rPr>
        <w:t xml:space="preserve"> </w:t>
      </w:r>
      <w:r>
        <w:rPr>
          <w:color w:val="050100"/>
        </w:rPr>
        <w:t>cell</w:t>
      </w:r>
      <w:r>
        <w:rPr>
          <w:color w:val="050100"/>
          <w:spacing w:val="16"/>
        </w:rPr>
        <w:t xml:space="preserve"> </w:t>
      </w:r>
      <w:r>
        <w:rPr>
          <w:color w:val="050100"/>
          <w:spacing w:val="-2"/>
        </w:rPr>
        <w:t>lines.</w:t>
      </w:r>
    </w:p>
    <w:p w14:paraId="094D1DDB">
      <w:pPr>
        <w:pStyle w:val="3"/>
        <w:spacing w:before="26" w:line="266" w:lineRule="auto"/>
        <w:ind w:left="144" w:hanging="1"/>
        <w:rPr>
          <w:rFonts w:eastAsia="Malgun Gothic"/>
          <w:lang w:eastAsia="ko-KR"/>
        </w:rPr>
      </w:pPr>
      <w:r>
        <w:rPr>
          <w:color w:val="050100"/>
          <w:w w:val="105"/>
        </w:rPr>
        <w:t xml:space="preserve"> (A) Basal PDE1A mRNA expression in normal immortalized ovarian epithelial cells and ovarian cancer cell lines. OVCA429 and OVCA433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cells,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which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show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relatively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high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endogenous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PDE1A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levels,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were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selected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for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functional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assays.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(B)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>Validation</w:t>
      </w:r>
      <w:r>
        <w:rPr>
          <w:color w:val="050100"/>
          <w:spacing w:val="-6"/>
          <w:w w:val="105"/>
        </w:rPr>
        <w:t xml:space="preserve"> </w:t>
      </w:r>
      <w:r>
        <w:rPr>
          <w:color w:val="050100"/>
          <w:w w:val="105"/>
        </w:rPr>
        <w:t xml:space="preserve">of PDE1A knockdown by siRNA in OVCA429 and OVCA433 cells assessed by </w:t>
      </w:r>
      <w:r>
        <w:rPr>
          <w:rFonts w:hint="eastAsia" w:eastAsiaTheme="minorEastAsia"/>
          <w:color w:val="050100"/>
          <w:w w:val="105"/>
          <w:lang w:eastAsia="zh-CN"/>
        </w:rPr>
        <w:t>q</w:t>
      </w:r>
      <w:r>
        <w:rPr>
          <w:color w:val="050100"/>
          <w:w w:val="105"/>
        </w:rPr>
        <w:t xml:space="preserve">uantitative </w:t>
      </w:r>
      <w:r>
        <w:rPr>
          <w:rFonts w:hint="eastAsia" w:eastAsiaTheme="minorEastAsia"/>
          <w:color w:val="050100"/>
          <w:w w:val="105"/>
          <w:lang w:eastAsia="zh-CN"/>
        </w:rPr>
        <w:t>r</w:t>
      </w:r>
      <w:r>
        <w:rPr>
          <w:color w:val="050100"/>
          <w:w w:val="105"/>
        </w:rPr>
        <w:t xml:space="preserve">everse </w:t>
      </w:r>
      <w:r>
        <w:rPr>
          <w:rFonts w:hint="eastAsia" w:eastAsiaTheme="minorEastAsia"/>
          <w:color w:val="050100"/>
          <w:w w:val="105"/>
          <w:lang w:eastAsia="zh-CN"/>
        </w:rPr>
        <w:t>t</w:t>
      </w:r>
      <w:r>
        <w:rPr>
          <w:color w:val="050100"/>
          <w:w w:val="105"/>
        </w:rPr>
        <w:t xml:space="preserve">ranscription </w:t>
      </w:r>
      <w:r>
        <w:rPr>
          <w:rFonts w:hint="eastAsia" w:eastAsiaTheme="minorEastAsia"/>
          <w:color w:val="050100"/>
          <w:w w:val="105"/>
          <w:lang w:eastAsia="zh-CN"/>
        </w:rPr>
        <w:t>p</w:t>
      </w:r>
      <w:r>
        <w:rPr>
          <w:color w:val="050100"/>
          <w:w w:val="105"/>
        </w:rPr>
        <w:t xml:space="preserve">olymerase </w:t>
      </w:r>
      <w:r>
        <w:rPr>
          <w:rFonts w:hint="eastAsia" w:eastAsiaTheme="minorEastAsia"/>
          <w:color w:val="050100"/>
          <w:w w:val="105"/>
          <w:lang w:eastAsia="zh-CN"/>
        </w:rPr>
        <w:t>c</w:t>
      </w:r>
      <w:r>
        <w:rPr>
          <w:color w:val="050100"/>
          <w:w w:val="105"/>
        </w:rPr>
        <w:t xml:space="preserve">hain </w:t>
      </w:r>
      <w:r>
        <w:rPr>
          <w:rFonts w:hint="eastAsia" w:eastAsiaTheme="minorEastAsia"/>
          <w:color w:val="050100"/>
          <w:w w:val="105"/>
          <w:lang w:eastAsia="zh-CN"/>
        </w:rPr>
        <w:t>r</w:t>
      </w:r>
      <w:r>
        <w:rPr>
          <w:color w:val="050100"/>
          <w:w w:val="105"/>
        </w:rPr>
        <w:t xml:space="preserve">eaction </w:t>
      </w:r>
      <w:r>
        <w:rPr>
          <w:rFonts w:hint="eastAsia" w:eastAsiaTheme="minorEastAsia"/>
          <w:color w:val="050100"/>
          <w:w w:val="105"/>
          <w:lang w:eastAsia="zh-CN"/>
        </w:rPr>
        <w:t>(</w:t>
      </w:r>
      <w:r>
        <w:rPr>
          <w:color w:val="050100"/>
          <w:w w:val="105"/>
        </w:rPr>
        <w:t>qRT-PCR</w:t>
      </w:r>
      <w:r>
        <w:rPr>
          <w:rFonts w:hint="eastAsia" w:eastAsiaTheme="minorEastAsia"/>
          <w:color w:val="050100"/>
          <w:w w:val="105"/>
          <w:lang w:eastAsia="zh-CN"/>
        </w:rPr>
        <w:t>)</w:t>
      </w:r>
      <w:r>
        <w:rPr>
          <w:color w:val="050100"/>
          <w:w w:val="105"/>
        </w:rPr>
        <w:t>. The number of asterisks indicates statistical</w:t>
      </w:r>
      <w:r>
        <w:rPr>
          <w:color w:val="050100"/>
          <w:spacing w:val="-7"/>
          <w:w w:val="105"/>
        </w:rPr>
        <w:t xml:space="preserve"> </w:t>
      </w:r>
      <w:r>
        <w:rPr>
          <w:color w:val="050100"/>
          <w:w w:val="105"/>
        </w:rPr>
        <w:t>significance:</w:t>
      </w:r>
      <w:r>
        <w:rPr>
          <w:color w:val="050100"/>
          <w:spacing w:val="-7"/>
          <w:w w:val="105"/>
        </w:rPr>
        <w:t xml:space="preserve"> </w:t>
      </w:r>
      <w:r>
        <w:rPr>
          <w:color w:val="050100"/>
          <w:w w:val="105"/>
        </w:rPr>
        <w:t xml:space="preserve"> ** </w:t>
      </w:r>
      <w:r>
        <w:rPr>
          <w:i/>
          <w:iCs/>
          <w:color w:val="050100"/>
          <w:w w:val="105"/>
        </w:rPr>
        <w:t>p</w:t>
      </w:r>
      <w:r>
        <w:rPr>
          <w:color w:val="050100"/>
          <w:w w:val="105"/>
        </w:rPr>
        <w:t xml:space="preserve"> &lt; 0.01, *** </w:t>
      </w:r>
      <w:bookmarkStart w:id="0" w:name="_GoBack"/>
      <w:r>
        <w:rPr>
          <w:i/>
          <w:iCs/>
          <w:color w:val="050100"/>
          <w:w w:val="105"/>
        </w:rPr>
        <w:t>p</w:t>
      </w:r>
      <w:bookmarkEnd w:id="0"/>
      <w:r>
        <w:rPr>
          <w:color w:val="050100"/>
          <w:w w:val="105"/>
        </w:rPr>
        <w:t xml:space="preserve"> &lt; 0.001. Error bars represent the mean ± SD of three independent experiments, each performed in triplicate.</w:t>
      </w:r>
    </w:p>
    <w:p w14:paraId="202ECEF6">
      <w:pPr>
        <w:pStyle w:val="3"/>
        <w:spacing w:line="266" w:lineRule="auto"/>
        <w:rPr>
          <w:rFonts w:eastAsia="Malgun Gothic"/>
          <w:lang w:eastAsia="ko-KR"/>
        </w:rPr>
      </w:pPr>
    </w:p>
    <w:p w14:paraId="6AA0C474">
      <w:pPr>
        <w:pStyle w:val="3"/>
        <w:spacing w:line="266" w:lineRule="auto"/>
        <w:rPr>
          <w:rFonts w:hint="eastAsia" w:eastAsiaTheme="minorEastAsia"/>
          <w:lang w:eastAsia="zh-CN"/>
        </w:rPr>
      </w:pPr>
    </w:p>
    <w:p w14:paraId="5CB82917">
      <w:pPr>
        <w:pStyle w:val="3"/>
        <w:spacing w:line="266" w:lineRule="auto"/>
        <w:jc w:val="center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drawing>
          <wp:inline distT="0" distB="0" distL="0" distR="0">
            <wp:extent cx="2997200" cy="2374900"/>
            <wp:effectExtent l="0" t="0" r="0" b="6350"/>
            <wp:docPr id="744794184" name="그림 1" descr="텍스트, 도표, 스케치, 디자인이(가) 표시된 사진&#10;&#10;AI 생성 콘텐츠는 정확하지 않을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794184" name="그림 1" descr="텍스트, 도표, 스케치, 디자인이(가) 표시된 사진&#10;&#10;AI 생성 콘텐츠는 정확하지 않을 수 있습니다.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02122" cy="2379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971E7">
      <w:pPr>
        <w:pStyle w:val="3"/>
        <w:spacing w:before="105"/>
        <w:rPr>
          <w:rFonts w:ascii="Arial" w:eastAsia="Malgun Gothic"/>
          <w:lang w:eastAsia="ko-KR"/>
        </w:rPr>
      </w:pPr>
    </w:p>
    <w:p w14:paraId="3B8971E8">
      <w:pPr>
        <w:pStyle w:val="3"/>
        <w:spacing w:line="266" w:lineRule="auto"/>
        <w:ind w:left="144"/>
      </w:pPr>
      <w:r>
        <w:rPr>
          <w:color w:val="050100"/>
          <w:w w:val="105"/>
        </w:rPr>
        <w:t>Supplementary Figure S2. CTNNB1 mRNA expression after PDE1A knockdown. Relative CTNNB1 mRNA levels in OVCA429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and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OVCA433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cells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transfected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with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control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or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PDE1A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siRNAs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for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48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h,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measured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by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qRT-PCR.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Error</w:t>
      </w:r>
      <w:r>
        <w:rPr>
          <w:color w:val="050100"/>
          <w:spacing w:val="-9"/>
          <w:w w:val="105"/>
        </w:rPr>
        <w:t xml:space="preserve"> </w:t>
      </w:r>
      <w:r>
        <w:rPr>
          <w:color w:val="050100"/>
          <w:w w:val="105"/>
        </w:rPr>
        <w:t>bars represent</w:t>
      </w:r>
      <w:r>
        <w:rPr>
          <w:rFonts w:hint="eastAsia" w:eastAsia="Malgun Gothic"/>
          <w:color w:val="050100"/>
          <w:w w:val="105"/>
          <w:lang w:eastAsia="ko-KR"/>
        </w:rPr>
        <w:t xml:space="preserve"> the</w:t>
      </w:r>
      <w:r>
        <w:rPr>
          <w:color w:val="050100"/>
          <w:w w:val="105"/>
        </w:rPr>
        <w:t xml:space="preserve"> mean ± SD of values from triplicate experiments.</w:t>
      </w:r>
    </w:p>
    <w:sectPr>
      <w:footerReference r:id="rId3" w:type="default"/>
      <w:pgSz w:w="11910" w:h="16840"/>
      <w:pgMar w:top="720" w:right="1559" w:bottom="620" w:left="850" w:header="0" w:footer="42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ion Pro">
    <w:altName w:val="Cambria"/>
    <w:panose1 w:val="00000000000000000000"/>
    <w:charset w:val="00"/>
    <w:family w:val="roman"/>
    <w:pitch w:val="default"/>
    <w:sig w:usb0="00000000" w:usb1="00000000" w:usb2="00000000" w:usb3="00000000" w:csb0="0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897219">
    <w:pPr>
      <w:pStyle w:val="3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5608320</wp:posOffset>
              </wp:positionH>
              <wp:positionV relativeFrom="page">
                <wp:posOffset>10280015</wp:posOffset>
              </wp:positionV>
              <wp:extent cx="1753870" cy="196215"/>
              <wp:effectExtent l="0" t="0" r="0" b="0"/>
              <wp:wrapNone/>
              <wp:docPr id="75" name="Textbox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387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89722F">
                          <w:pPr>
                            <w:spacing w:before="12"/>
                            <w:ind w:left="20"/>
                            <w:rPr>
                              <w:rFonts w:hint="eastAsia" w:ascii="Malgun Gothic" w:hAnsi="Malgun Gothic" w:eastAsia="Malgun Gothic" w:cs="Malgun Gothic"/>
                              <w:sz w:val="24"/>
                              <w:lang w:eastAsia="ko-KR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5" o:spid="_x0000_s1026" o:spt="202" type="#_x0000_t202" style="position:absolute;left:0pt;margin-left:441.6pt;margin-top:809.45pt;height:15.45pt;width:138.1pt;mso-position-horizontal-relative:page;mso-position-vertical-relative:page;z-index:-251657216;mso-width-relative:page;mso-height-relative:page;" filled="f" stroked="f" coordsize="21600,21600" o:gfxdata="UEsDBAoAAAAAAIdO4kAAAAAAAAAAAAAAAAAEAAAAZHJzL1BLAwQUAAAACACHTuJAYcP93NoAAAAO&#10;AQAADwAAAGRycy9kb3ducmV2LnhtbE2PTU+EMBCG7yb+h2ZMvLmFdSUFKRtj9GRiZPHgsdBZaJZO&#10;kXY//PeWkx5n3ifvPFNuL3ZkJ5y9cSQhXSXAkDqnDfUSPpvXOwHMB0VajY5Qwg962FbXV6UqtDtT&#10;jadd6FksIV8oCUMIU8G57wa0yq/chBSzvZutCnGce65ndY7lduTrJMm4VYbihUFN+Dxgd9gdrYSn&#10;L6pfzPd7+1Hva9M0eUJv2UHK25s0eQQW8BL+YFj0ozpU0al1R9KejRKEuF9HNAZZKnJgC5I+5Btg&#10;7bLb5AJ4VfL/b1S/UEsDBBQAAAAIAIdO4kCWh4rAtAEAAHYDAAAOAAAAZHJzL2Uyb0RvYy54bWyt&#10;U8Fu2zAMvQ/oPwi6N04ytOmMOMXWYMOAYSvQ7gNkWYoFWKJKKbHz96NkOx26Sw+7yBRJPfI90tv7&#10;wXbspDAYcBVfLZacKSehMe5Q8d/PX6/vOAtRuEZ04FTFzyrw+93Vh23vS7WGFrpGISMQF8reV7yN&#10;0ZdFEWSrrAgL8MpRUANaEemKh6JB0RO67Yr1cnlb9ICNR5AqBPLuxyCfEPE9gKC1kWoP8miViyMq&#10;qk5EohRa4wPf5W61VjL+0jqoyLqKE9OYTypCdp3OYrcV5QGFb42cWhDvaeENJyuMo6IXqL2Igh3R&#10;/ANljUQIoONCgi1GIlkRYrFavtHmqRVeZS4kdfAX0cP/g5U/T4/ITFPxzQ1nTlia+LMaYg0DIw/J&#10;0/tQUtaTp7w4fIGBlmb2B3Im1oNGm77Eh1GcxD1fxCUwJtOjzc3Huw2FJMVWn27XqwxfvL72GOI3&#10;BZYlo+JIw8uaitOPEKkTSp1T6JL6GusnKw71MDVbQ3OmXnsaasXDy1Gg4qz77ki1tAGzgbNRzwbG&#10;7gHyniQuDj4fI2iTK6cSI+5UmcaRG5pWJ83773vOev1ddn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YcP93NoAAAAOAQAADwAAAAAAAAABACAAAAAiAAAAZHJzL2Rvd25yZXYueG1sUEsBAhQAFAAA&#10;AAgAh07iQJaHisC0AQAAdgMAAA4AAAAAAAAAAQAgAAAAKQ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B89722F">
                    <w:pPr>
                      <w:spacing w:before="12"/>
                      <w:ind w:left="20"/>
                      <w:rPr>
                        <w:rFonts w:hint="eastAsia" w:ascii="Malgun Gothic" w:hAnsi="Malgun Gothic" w:eastAsia="Malgun Gothic" w:cs="Malgun Gothic"/>
                        <w:sz w:val="24"/>
                        <w:lang w:eastAsia="ko-KR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42"/>
    <w:rsid w:val="00026D69"/>
    <w:rsid w:val="001054B7"/>
    <w:rsid w:val="0012234E"/>
    <w:rsid w:val="0018105C"/>
    <w:rsid w:val="0019326D"/>
    <w:rsid w:val="001B286E"/>
    <w:rsid w:val="001E0631"/>
    <w:rsid w:val="002750E8"/>
    <w:rsid w:val="002B671D"/>
    <w:rsid w:val="002B7065"/>
    <w:rsid w:val="00320442"/>
    <w:rsid w:val="00360DBF"/>
    <w:rsid w:val="00395E00"/>
    <w:rsid w:val="004E4365"/>
    <w:rsid w:val="00654AF0"/>
    <w:rsid w:val="006F4AFB"/>
    <w:rsid w:val="007F535E"/>
    <w:rsid w:val="00886D31"/>
    <w:rsid w:val="009F63C6"/>
    <w:rsid w:val="00A164C6"/>
    <w:rsid w:val="00AE2B0C"/>
    <w:rsid w:val="00B141D1"/>
    <w:rsid w:val="00B4506E"/>
    <w:rsid w:val="00B56A5D"/>
    <w:rsid w:val="00CB0254"/>
    <w:rsid w:val="00CD1F7F"/>
    <w:rsid w:val="00CD7D0B"/>
    <w:rsid w:val="00CF46D4"/>
    <w:rsid w:val="00D47A1C"/>
    <w:rsid w:val="00DF1305"/>
    <w:rsid w:val="00F71888"/>
    <w:rsid w:val="00F723C1"/>
    <w:rsid w:val="00F75628"/>
    <w:rsid w:val="00F758D9"/>
    <w:rsid w:val="00FD05EE"/>
    <w:rsid w:val="00FE5F74"/>
    <w:rsid w:val="0B960E49"/>
    <w:rsid w:val="2EB942B1"/>
    <w:rsid w:val="40154D89"/>
    <w:rsid w:val="58CE79BF"/>
    <w:rsid w:val="630E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Minion Pro" w:hAnsi="Minion Pro" w:eastAsia="Minion Pro" w:cs="Minion Pro"/>
      <w:sz w:val="22"/>
      <w:szCs w:val="22"/>
      <w:lang w:val="en-US" w:eastAsia="en-US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</w:style>
  <w:style w:type="paragraph" w:styleId="3">
    <w:name w:val="Body Text"/>
    <w:basedOn w:val="1"/>
    <w:qFormat/>
    <w:uiPriority w:val="1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页眉 字符"/>
    <w:basedOn w:val="9"/>
    <w:link w:val="5"/>
    <w:qFormat/>
    <w:uiPriority w:val="99"/>
    <w:rPr>
      <w:rFonts w:ascii="Minion Pro" w:hAnsi="Minion Pro" w:eastAsia="Minion Pro" w:cs="Minion Pro"/>
      <w:sz w:val="18"/>
      <w:szCs w:val="18"/>
    </w:rPr>
  </w:style>
  <w:style w:type="character" w:customStyle="1" w:styleId="15">
    <w:name w:val="页脚 字符"/>
    <w:basedOn w:val="9"/>
    <w:link w:val="4"/>
    <w:qFormat/>
    <w:uiPriority w:val="99"/>
    <w:rPr>
      <w:rFonts w:ascii="Minion Pro" w:hAnsi="Minion Pro" w:eastAsia="Minion Pro" w:cs="Minion Pro"/>
      <w:sz w:val="18"/>
      <w:szCs w:val="18"/>
    </w:rPr>
  </w:style>
  <w:style w:type="character" w:customStyle="1" w:styleId="16">
    <w:name w:val="批注文字 字符"/>
    <w:basedOn w:val="9"/>
    <w:link w:val="2"/>
    <w:qFormat/>
    <w:uiPriority w:val="99"/>
    <w:rPr>
      <w:rFonts w:ascii="Minion Pro" w:hAnsi="Minion Pro" w:eastAsia="Minion Pro" w:cs="Minion Pro"/>
    </w:rPr>
  </w:style>
  <w:style w:type="character" w:customStyle="1" w:styleId="17">
    <w:name w:val="批注主题 字符"/>
    <w:basedOn w:val="16"/>
    <w:link w:val="7"/>
    <w:semiHidden/>
    <w:qFormat/>
    <w:uiPriority w:val="99"/>
    <w:rPr>
      <w:rFonts w:ascii="Minion Pro" w:hAnsi="Minion Pro" w:eastAsia="Minion Pro" w:cs="Minion Pro"/>
      <w:b/>
      <w:bCs/>
    </w:rPr>
  </w:style>
  <w:style w:type="paragraph" w:customStyle="1" w:styleId="18">
    <w:name w:val="수정1"/>
    <w:hidden/>
    <w:semiHidden/>
    <w:qFormat/>
    <w:uiPriority w:val="99"/>
    <w:rPr>
      <w:rFonts w:ascii="Minion Pro" w:hAnsi="Minion Pro" w:eastAsia="Minion Pro" w:cs="Minion Pro"/>
      <w:sz w:val="22"/>
      <w:szCs w:val="22"/>
      <w:lang w:val="en-US" w:eastAsia="en-US" w:bidi="ar-SA"/>
    </w:rPr>
  </w:style>
  <w:style w:type="paragraph" w:customStyle="1" w:styleId="19">
    <w:name w:val="Revision"/>
    <w:hidden/>
    <w:unhideWhenUsed/>
    <w:qFormat/>
    <w:uiPriority w:val="99"/>
    <w:rPr>
      <w:rFonts w:ascii="Minion Pro" w:hAnsi="Minion Pro" w:eastAsia="Minion Pro" w:cs="Minion Pro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816</Characters>
  <Lines>6</Lines>
  <Paragraphs>1</Paragraphs>
  <TotalTime>12</TotalTime>
  <ScaleCrop>false</ScaleCrop>
  <LinksUpToDate>false</LinksUpToDate>
  <CharactersWithSpaces>957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2025-12-10T14:12:00Z</dcterms:created>
  <dc:creator>10221</dc:creator>
  <cp:lastModifiedBy>Diana Xu</cp:lastModifiedBy>
  <dcterms:modified xsi:type="dcterms:W3CDTF">2025-12-11T07:21:02Z</dcterms:modified>
  <dc:title>Supplementary Figure_11082025Revision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2025-11-09T00:00:00Z</vt:filetime>
  </property>
  <property fmtid="{D5CDD505-2E9C-101B-9397-08002B2CF9AE}" pid="3" name="Creator">
    <vt:lpwstr>Adobe Illustrator 29.8 (Windows)</vt:lpwstr>
  </property>
  <property fmtid="{D5CDD505-2E9C-101B-9397-08002B2CF9AE}" pid="4" name="LastSaved">
    <vt:filetime>2025-12-06T00:00:00Z</vt:filetime>
  </property>
  <property fmtid="{D5CDD505-2E9C-101B-9397-08002B2CF9AE}" pid="5" name="Producer">
    <vt:lpwstr>Adobe PDF library 17.00</vt:lpwstr>
  </property>
  <property fmtid="{D5CDD505-2E9C-101B-9397-08002B2CF9AE}" pid="6" name="GrammarlyDocumentId">
    <vt:lpwstr>a0be77ee-a235-4e0f-adc1-11b99aa60974</vt:lpwstr>
  </property>
  <property fmtid="{D5CDD505-2E9C-101B-9397-08002B2CF9AE}" pid="7" name="KSOProductBuildVer">
    <vt:lpwstr>2052-12.1.0.23542</vt:lpwstr>
  </property>
  <property fmtid="{D5CDD505-2E9C-101B-9397-08002B2CF9AE}" pid="8" name="ICV">
    <vt:lpwstr>1FDC03A473184625B40ED8E163485B63_13</vt:lpwstr>
  </property>
  <property fmtid="{D5CDD505-2E9C-101B-9397-08002B2CF9AE}" pid="9" name="KSOTemplateDocerSaveRecord">
    <vt:lpwstr>eyJoZGlkIjoiMWIxOWY5NjA2OGNlNjNmNGM0OGEyMzcyNDYwMmIzMTYiLCJ1c2VySWQiOiIyNjIwMzA1OTUifQ==</vt:lpwstr>
  </property>
</Properties>
</file>