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52F43">
      <w:pPr>
        <w:rPr>
          <w:rFonts w:eastAsia="Times New Roman"/>
          <w:b/>
          <w:sz w:val="20"/>
          <w:szCs w:val="20"/>
          <w:lang w:eastAsia="en-GB"/>
        </w:rPr>
      </w:pPr>
      <w:r>
        <w:rPr>
          <w:rFonts w:eastAsia="Times New Roman"/>
          <w:b/>
          <w:sz w:val="20"/>
          <w:szCs w:val="20"/>
          <w:lang w:eastAsia="en-GB"/>
        </w:rPr>
        <w:t>STROBE-MR checklist of recommended items to address in reports of Mendelian randomization studies</w:t>
      </w:r>
      <w:r>
        <w:rPr>
          <w:rFonts w:eastAsia="Times New Roman"/>
          <w:b/>
          <w:sz w:val="20"/>
          <w:szCs w:val="20"/>
          <w:lang w:eastAsia="en-GB"/>
        </w:rPr>
        <w:fldChar w:fldCharType="begin" w:fldLock="1"/>
      </w:r>
      <w:r>
        <w:rPr>
          <w:rFonts w:eastAsia="Times New Roman"/>
          <w:b/>
          <w:sz w:val="20"/>
          <w:szCs w:val="20"/>
          <w:lang w:eastAsia="en-GB"/>
        </w:rPr>
        <w:instrText xml:space="preserve">ADDIN CSL_CITATION {"citationItems":[{"id":"ITEM-1","itemData":{"author":[{"dropping-particle":"","family":"Skrivankova","given":"V W","non-dropping-particle":"","parse-names":false,"suffix":""},{"dropping-particle":"","family":"Richmond","given":"R C","non-dropping-particle":"","parse-names":false,"suffix":""},{"dropping-particle":"","family":"Woolf","given":"B A R","non-dropping-particle":"","parse-names":false,"suffix":""},{"dropping-particle":"","family":"Yarmolinsky","given":"J","non-dropping-particle":"","parse-names":false,"suffix":""},{"dropping-particle":"","family":"Davies","given":"N M","non-dropping-particle":"","parse-names":false,"suffix":""},{"dropping-particle":"","family":"Swanson","given":"S A","non-dropping-particle":"","parse-names":false,"suffix":""},{"dropping-particle":"","family":"VanderWeele","given":"T J","non-dropping-particle":"","parse-names":false,"suffix":""},{"dropping-particle":"","family":"Higgins","given":"J P H","non-dropping-particle":"","parse-names":false,"suffix":""},{"dropping-particle":"","family":"Timpson","given":"N J","non-dropping-particle":"","parse-names":false,"suffix":""},{"dropping-particle":"","family":"Dimou","given":"N","non-dropping-particle":"","parse-names":false,"suffix":""},{"dropping-particle":"","family":"Langenberg","given":"C","non-dropping-particle":"","parse-names":false,"suffix":""},{"dropping-particle":"","family":"Loder","given":"E W","non-dropping-particle":"","parse-names":false,"suffix":""},{"dropping-particle":"","family":"Golub","given":"R","non-dropping-particle":"","parse-names":false,"suffix":""},{"dropping-particle":"","family":"Gallo","given":"V","non-dropping-particle":"","parse-names":false,"suffix":""},{"dropping-particle":"","family":"Tybjaerg-Hansen","given":"A","non-dropping-particle":"","parse-names":false,"suffix":""},{"dropping-particle":"","family":"Davey Smith","given":"G","non-dropping-particle":"","parse-names":false,"suffix":""},{"dropping-particle":"","family":"Egger","given":"M","non-dropping-particle":"","parse-names":false,"suffix":""},{"dropping-particle":"","family":"Richards","given":"J B","non-dropping-particle":"","parse-names":false,"suffix":""}],"container-title":"JAMA","id":"ITEM-1","issued":{"date-parts":[["2021"]]},"page":"under review","title":"Strengthening the Reporting of Observational Studies in Epidemiology using Mendelian Randomization (STROBE-MR) Statement","type":"article-journal"},"uris":["http://www.mendeley.com/documents/?uuid=29dd9aa2-14fd-450b-83fb-4c6b74b75061"]}],"mendeley":{"formattedCitation":"&lt;sup&gt;1&lt;/sup&gt;","plainTextFormattedCitation":"1"},"properties":{"noteIndex":0},"schema":"https://github.com/citation-style-language/schema/raw/master/csl-citation.json"}</w:instrText>
      </w:r>
      <w:r>
        <w:rPr>
          <w:rFonts w:eastAsia="Times New Roman"/>
          <w:b/>
          <w:sz w:val="20"/>
          <w:szCs w:val="20"/>
          <w:lang w:eastAsia="en-GB"/>
        </w:rPr>
        <w:fldChar w:fldCharType="separate"/>
      </w:r>
      <w:r>
        <w:rPr>
          <w:rFonts w:eastAsia="Times New Roman"/>
          <w:sz w:val="20"/>
          <w:szCs w:val="20"/>
          <w:vertAlign w:val="superscript"/>
          <w:lang w:eastAsia="en-GB"/>
        </w:rPr>
        <w:t>1</w:t>
      </w:r>
      <w:r>
        <w:rPr>
          <w:rFonts w:eastAsia="Times New Roman"/>
          <w:b/>
          <w:sz w:val="20"/>
          <w:szCs w:val="20"/>
          <w:lang w:eastAsia="en-GB"/>
        </w:rPr>
        <w:fldChar w:fldCharType="end"/>
      </w:r>
      <w:r>
        <w:rPr>
          <w:rFonts w:eastAsia="Times New Roman"/>
          <w:b/>
          <w:sz w:val="20"/>
          <w:szCs w:val="20"/>
          <w:lang w:eastAsia="en-GB"/>
        </w:rPr>
        <w:t xml:space="preserve"> </w:t>
      </w:r>
      <w:r>
        <w:rPr>
          <w:rFonts w:eastAsia="Times New Roman"/>
          <w:b/>
          <w:sz w:val="20"/>
          <w:szCs w:val="20"/>
          <w:lang w:eastAsia="en-GB"/>
        </w:rPr>
        <w:fldChar w:fldCharType="begin" w:fldLock="1"/>
      </w:r>
      <w:r>
        <w:rPr>
          <w:rFonts w:eastAsia="Times New Roman"/>
          <w:b/>
          <w:sz w:val="20"/>
          <w:szCs w:val="20"/>
          <w:lang w:eastAsia="en-GB"/>
        </w:rPr>
        <w:instrText xml:space="preserve">ADDIN CSL_CITATION {"citationItems":[{"id":"ITEM-1","itemData":{"author":[{"dropping-particle":"","family":"Skrivankova","given":"Veronika W","non-dropping-particle":"","parse-names":false,"suffix":""},{"dropping-particle":"","family":"Richmond","given":"Rebecca C","non-dropping-particle":"","parse-names":false,"suffix":""},{"dropping-particle":"","family":"Woolf","given":"Benjamin A R","non-dropping-particle":"","parse-names":false,"suffix":""},{"dropping-particle":"","family":"Davies","given":"Neil M","non-dropping-particle":"","parse-names":false,"suffix":""},{"dropping-particle":"","family":"Swanson","given":"Sonja A","non-dropping-particle":"","parse-names":false,"suffix":""},{"dropping-particle":"","family":"VanderWeele","given":"Tyler J","non-dropping-particle":"","parse-names":false,"suffix":""},{"dropping-particle":"","family":"Timpson","given":"Nicholas J","non-dropping-particle":"","parse-names":false,"suffix":""},{"dropping-particle":"","family":"Higgins","given":"Julian P T","non-dropping-particle":"","parse-names":false,"suffix":""},{"dropping-particle":"","family":"Dimou","given":"Niki","non-dropping-particle":"","parse-names":false,"suffix":""},{"dropping-particle":"","family":"Langenberg","given":"Claudia","non-dropping-particle":"","parse-names":false,"suffix":""},{"dropping-particle":"","family":"Loder","given":"Elizabeth W","non-dropping-particle":"","parse-names":false,"suffix":""},{"dropping-particle":"","family":"Golub","given":"Robert M","non-dropping-particle":"","parse-names":false,"suffix":""},{"dropping-particle":"","family":"Egger","given":"Mathias","non-dropping-particle":"","parse-names":false,"suffix":""},{"dropping-particle":"","family":"Davey Smith","given":"George","non-dropping-particle":"","parse-names":false,"suffix":""},{"dropping-particle":"","family":"Richards","given":"J Brent","non-dropping-particle":"","parse-names":false,"suffix":""}],"container-title":"BMJ","id":"ITEM-1","issued":{"date-parts":[["2021"]]},"title":"Strengthening the Reporting of Observational Studies in Epidemiology using Mendelian Randomisation (STROBE-MR): Explanation and Elaboration","type":"article-journal","volume":"375:n2233"},"uris":["http://www.mendeley.com/documents/?uuid=af64eb33-5308-4d72-bd7e-6fe0d8fe3570"]}],"mendeley":{"formattedCitation":"&lt;sup&gt;2&lt;/sup&gt;","plainTextFormattedCitation":"2","previouslyFormattedCitation":"&lt;sup&gt;1&lt;/sup&gt;"},"properties":{"noteIndex":0},"schema":"https://github.com/citation-style-language/schema/raw/master/csl-citation.json"}</w:instrText>
      </w:r>
      <w:r>
        <w:rPr>
          <w:rFonts w:eastAsia="Times New Roman"/>
          <w:b/>
          <w:sz w:val="20"/>
          <w:szCs w:val="20"/>
          <w:lang w:eastAsia="en-GB"/>
        </w:rPr>
        <w:fldChar w:fldCharType="separate"/>
      </w:r>
      <w:r>
        <w:rPr>
          <w:rFonts w:eastAsia="Times New Roman"/>
          <w:sz w:val="20"/>
          <w:szCs w:val="20"/>
          <w:vertAlign w:val="superscript"/>
          <w:lang w:eastAsia="en-GB"/>
        </w:rPr>
        <w:t>2</w:t>
      </w:r>
      <w:r>
        <w:rPr>
          <w:rFonts w:eastAsia="Times New Roman"/>
          <w:b/>
          <w:sz w:val="20"/>
          <w:szCs w:val="20"/>
          <w:lang w:eastAsia="en-GB"/>
        </w:rPr>
        <w:fldChar w:fldCharType="end"/>
      </w:r>
      <w:r>
        <w:rPr>
          <w:rFonts w:eastAsia="Times New Roman"/>
          <w:b/>
          <w:sz w:val="20"/>
          <w:szCs w:val="20"/>
          <w:lang w:eastAsia="en-GB"/>
        </w:rPr>
        <w:t> </w:t>
      </w:r>
    </w:p>
    <w:p w14:paraId="499068DC">
      <w:pPr>
        <w:rPr>
          <w:rFonts w:eastAsia="Times New Roman"/>
          <w:b/>
          <w:sz w:val="20"/>
          <w:szCs w:val="20"/>
          <w:lang w:eastAsia="en-GB"/>
        </w:rPr>
      </w:pPr>
    </w:p>
    <w:tbl>
      <w:tblPr>
        <w:tblStyle w:val="4"/>
        <w:tblW w:w="14490" w:type="dxa"/>
        <w:tblInd w:w="0" w:type="dxa"/>
        <w:tblLayout w:type="autofit"/>
        <w:tblCellMar>
          <w:top w:w="0" w:type="dxa"/>
          <w:left w:w="108" w:type="dxa"/>
          <w:bottom w:w="0" w:type="dxa"/>
          <w:right w:w="108" w:type="dxa"/>
        </w:tblCellMar>
      </w:tblPr>
      <w:tblGrid>
        <w:gridCol w:w="587"/>
        <w:gridCol w:w="1822"/>
        <w:gridCol w:w="7041"/>
        <w:gridCol w:w="720"/>
        <w:gridCol w:w="4320"/>
      </w:tblGrid>
      <w:tr w14:paraId="43CA2995">
        <w:tblPrEx>
          <w:tblCellMar>
            <w:top w:w="0" w:type="dxa"/>
            <w:left w:w="108" w:type="dxa"/>
            <w:bottom w:w="0" w:type="dxa"/>
            <w:right w:w="108" w:type="dxa"/>
          </w:tblCellMar>
        </w:tblPrEx>
        <w:tc>
          <w:tcPr>
            <w:tcW w:w="587" w:type="dxa"/>
            <w:tcBorders>
              <w:top w:val="single" w:color="auto" w:sz="4" w:space="0"/>
              <w:bottom w:val="single" w:color="7F7F7F" w:sz="6" w:space="0"/>
            </w:tcBorders>
            <w:shd w:val="clear" w:color="auto" w:fill="auto"/>
          </w:tcPr>
          <w:p w14:paraId="357B40F4">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Item No.</w:t>
            </w:r>
          </w:p>
        </w:tc>
        <w:tc>
          <w:tcPr>
            <w:tcW w:w="1822" w:type="dxa"/>
            <w:tcBorders>
              <w:top w:val="single" w:color="auto" w:sz="4" w:space="0"/>
              <w:bottom w:val="single" w:color="7F7F7F" w:sz="6" w:space="0"/>
            </w:tcBorders>
            <w:shd w:val="clear" w:color="auto" w:fill="auto"/>
          </w:tcPr>
          <w:p w14:paraId="762356A8">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Section</w:t>
            </w:r>
          </w:p>
        </w:tc>
        <w:tc>
          <w:tcPr>
            <w:tcW w:w="7041" w:type="dxa"/>
            <w:tcBorders>
              <w:top w:val="single" w:color="auto" w:sz="4" w:space="0"/>
              <w:bottom w:val="single" w:color="7F7F7F" w:sz="6" w:space="0"/>
            </w:tcBorders>
            <w:shd w:val="clear" w:color="auto" w:fill="auto"/>
          </w:tcPr>
          <w:p w14:paraId="4BE22493">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 xml:space="preserve">Checklist item </w:t>
            </w:r>
          </w:p>
        </w:tc>
        <w:tc>
          <w:tcPr>
            <w:tcW w:w="720" w:type="dxa"/>
            <w:tcBorders>
              <w:top w:val="single" w:color="auto" w:sz="4" w:space="0"/>
              <w:bottom w:val="single" w:color="7F7F7F" w:sz="6" w:space="0"/>
            </w:tcBorders>
          </w:tcPr>
          <w:p w14:paraId="2BD8E04B">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Page No.</w:t>
            </w:r>
          </w:p>
        </w:tc>
        <w:tc>
          <w:tcPr>
            <w:tcW w:w="4320" w:type="dxa"/>
            <w:tcBorders>
              <w:top w:val="single" w:color="auto" w:sz="4" w:space="0"/>
              <w:bottom w:val="single" w:color="7F7F7F" w:sz="6" w:space="0"/>
            </w:tcBorders>
          </w:tcPr>
          <w:p w14:paraId="3BC8F202">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Relevant text from manuscript</w:t>
            </w:r>
          </w:p>
        </w:tc>
      </w:tr>
      <w:tr w14:paraId="6E1321FE">
        <w:tblPrEx>
          <w:tblCellMar>
            <w:top w:w="0" w:type="dxa"/>
            <w:left w:w="108" w:type="dxa"/>
            <w:bottom w:w="0" w:type="dxa"/>
            <w:right w:w="108" w:type="dxa"/>
          </w:tblCellMar>
        </w:tblPrEx>
        <w:tc>
          <w:tcPr>
            <w:tcW w:w="587" w:type="dxa"/>
            <w:tcBorders>
              <w:top w:val="single" w:color="7F7F7F" w:sz="6" w:space="0"/>
              <w:bottom w:val="single" w:color="7F7F7F" w:sz="6" w:space="0"/>
            </w:tcBorders>
            <w:shd w:val="clear" w:color="auto" w:fill="EEEEEE"/>
          </w:tcPr>
          <w:p w14:paraId="768D9048">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w:t>
            </w:r>
          </w:p>
        </w:tc>
        <w:tc>
          <w:tcPr>
            <w:tcW w:w="1822" w:type="dxa"/>
            <w:tcBorders>
              <w:top w:val="single" w:color="7F7F7F" w:sz="6" w:space="0"/>
              <w:bottom w:val="single" w:color="7F7F7F" w:sz="6" w:space="0"/>
            </w:tcBorders>
            <w:shd w:val="clear" w:color="auto" w:fill="EEEEEE"/>
          </w:tcPr>
          <w:p w14:paraId="5C5CAA7C">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TITLE and ABSTRACT</w:t>
            </w:r>
          </w:p>
        </w:tc>
        <w:tc>
          <w:tcPr>
            <w:tcW w:w="7041" w:type="dxa"/>
            <w:tcBorders>
              <w:top w:val="single" w:color="7F7F7F" w:sz="6" w:space="0"/>
              <w:bottom w:val="single" w:color="7F7F7F" w:sz="6" w:space="0"/>
            </w:tcBorders>
            <w:shd w:val="clear" w:color="auto" w:fill="EEEEEE"/>
          </w:tcPr>
          <w:p w14:paraId="2D231A7F">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Indicate Mendelian randomization (MR) as the study’s design in the title and/or the abstract if that is a main purpose of the study</w:t>
            </w:r>
          </w:p>
        </w:tc>
        <w:tc>
          <w:tcPr>
            <w:tcW w:w="720" w:type="dxa"/>
            <w:tcBorders>
              <w:top w:val="single" w:color="7F7F7F" w:sz="6" w:space="0"/>
              <w:bottom w:val="single" w:color="7F7F7F" w:sz="6" w:space="0"/>
            </w:tcBorders>
            <w:shd w:val="clear" w:color="auto" w:fill="EEEEEE"/>
          </w:tcPr>
          <w:p w14:paraId="23471805">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1</w:t>
            </w:r>
          </w:p>
        </w:tc>
        <w:tc>
          <w:tcPr>
            <w:tcW w:w="4320" w:type="dxa"/>
            <w:tcBorders>
              <w:top w:val="single" w:color="7F7F7F" w:sz="6" w:space="0"/>
              <w:bottom w:val="single" w:color="7F7F7F" w:sz="6" w:space="0"/>
            </w:tcBorders>
            <w:shd w:val="clear" w:color="auto" w:fill="EEEEEE"/>
          </w:tcPr>
          <w:p w14:paraId="7322841F">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Genetic Evidence for the Causal Association Between Myocardial Infarction and Urinary system cancers Risk</w:t>
            </w:r>
          </w:p>
        </w:tc>
      </w:tr>
      <w:tr w14:paraId="3218DA8B">
        <w:tblPrEx>
          <w:tblCellMar>
            <w:top w:w="0" w:type="dxa"/>
            <w:left w:w="108" w:type="dxa"/>
            <w:bottom w:w="0" w:type="dxa"/>
            <w:right w:w="108" w:type="dxa"/>
          </w:tblCellMar>
        </w:tblPrEx>
        <w:tc>
          <w:tcPr>
            <w:tcW w:w="587" w:type="dxa"/>
            <w:tcBorders>
              <w:top w:val="single" w:color="7F7F7F" w:sz="6" w:space="0"/>
            </w:tcBorders>
            <w:shd w:val="clear" w:color="auto" w:fill="auto"/>
          </w:tcPr>
          <w:p w14:paraId="22A682AD">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14:paraId="298E2EAA">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INTRODUCTION</w:t>
            </w:r>
          </w:p>
        </w:tc>
        <w:tc>
          <w:tcPr>
            <w:tcW w:w="7041" w:type="dxa"/>
            <w:tcBorders>
              <w:top w:val="single" w:color="7F7F7F" w:sz="6" w:space="0"/>
            </w:tcBorders>
            <w:shd w:val="clear" w:color="auto" w:fill="auto"/>
          </w:tcPr>
          <w:p w14:paraId="705EBE6D">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14:paraId="6923BED0">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14:paraId="1261E325">
            <w:pPr>
              <w:spacing w:before="96" w:beforeLines="40" w:after="96" w:afterLines="40" w:line="24" w:lineRule="atLeast"/>
              <w:rPr>
                <w:rFonts w:eastAsia="Cambria"/>
                <w:sz w:val="18"/>
                <w:szCs w:val="18"/>
                <w:lang w:val="en-GB" w:eastAsia="en-US"/>
              </w:rPr>
            </w:pPr>
          </w:p>
        </w:tc>
      </w:tr>
      <w:tr w14:paraId="0BA19789">
        <w:tblPrEx>
          <w:tblCellMar>
            <w:top w:w="0" w:type="dxa"/>
            <w:left w:w="108" w:type="dxa"/>
            <w:bottom w:w="0" w:type="dxa"/>
            <w:right w:w="108" w:type="dxa"/>
          </w:tblCellMar>
        </w:tblPrEx>
        <w:tc>
          <w:tcPr>
            <w:tcW w:w="587" w:type="dxa"/>
            <w:shd w:val="clear" w:color="auto" w:fill="EEEEEE"/>
          </w:tcPr>
          <w:p w14:paraId="3753799F">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2</w:t>
            </w:r>
          </w:p>
        </w:tc>
        <w:tc>
          <w:tcPr>
            <w:tcW w:w="1822" w:type="dxa"/>
            <w:shd w:val="clear" w:color="auto" w:fill="EEEEEE"/>
          </w:tcPr>
          <w:p w14:paraId="546A6930">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Background</w:t>
            </w:r>
          </w:p>
        </w:tc>
        <w:tc>
          <w:tcPr>
            <w:tcW w:w="7041" w:type="dxa"/>
            <w:shd w:val="clear" w:color="auto" w:fill="EEEEEE"/>
          </w:tcPr>
          <w:p w14:paraId="49C6755A">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Explain the scientific background and rationale for the reported study. What is the exposure? Is a potential causal relationship between exposure and outcome plausible? Justify why MR is a helpful method to address the study question</w:t>
            </w:r>
          </w:p>
        </w:tc>
        <w:tc>
          <w:tcPr>
            <w:tcW w:w="720" w:type="dxa"/>
            <w:shd w:val="clear" w:color="auto" w:fill="EEEEEE"/>
          </w:tcPr>
          <w:p w14:paraId="2A707FC9">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2-3</w:t>
            </w:r>
          </w:p>
        </w:tc>
        <w:tc>
          <w:tcPr>
            <w:tcW w:w="4320" w:type="dxa"/>
            <w:shd w:val="clear" w:color="auto" w:fill="EEEEEE"/>
          </w:tcPr>
          <w:p w14:paraId="2EF57D93">
            <w:pPr>
              <w:spacing w:before="96" w:beforeLines="40" w:after="96" w:afterLines="40" w:line="24" w:lineRule="atLeast"/>
              <w:rPr>
                <w:rFonts w:hint="default" w:eastAsia="宋体"/>
                <w:sz w:val="18"/>
                <w:szCs w:val="18"/>
                <w:lang w:val="en-US" w:eastAsia="zh-CN"/>
              </w:rPr>
            </w:pPr>
            <w:r>
              <w:rPr>
                <w:rFonts w:hint="default" w:eastAsia="Times New Roman"/>
                <w:sz w:val="18"/>
                <w:szCs w:val="18"/>
                <w:lang w:val="en-GB" w:eastAsia="en-GB"/>
              </w:rPr>
              <w:t>The relationship between myocardial infarction (MI) and urinary system cancers has gained increasing attention in recent years, particularly due to the cardiovascular risks associated with cancer treatments rather than the malignancies themselves. Emerging evidence suggests that therapeutic interventions for prostate cancer (PCa), bladder cancer (BCa), and malignant neoplasm of kidney (MRN) may substantially increase cardiovascular event risks, creating complex bidirectional associations that extend beyond shared risk factors..</w:t>
            </w:r>
            <w:r>
              <w:rPr>
                <w:rFonts w:hint="eastAsia" w:eastAsia="宋体"/>
                <w:sz w:val="18"/>
                <w:szCs w:val="18"/>
                <w:lang w:val="en-US" w:eastAsia="zh-CN"/>
              </w:rPr>
              <w:t>...</w:t>
            </w:r>
          </w:p>
        </w:tc>
      </w:tr>
      <w:tr w14:paraId="4B8F8A5C">
        <w:tblPrEx>
          <w:tblCellMar>
            <w:top w:w="0" w:type="dxa"/>
            <w:left w:w="108" w:type="dxa"/>
            <w:bottom w:w="0" w:type="dxa"/>
            <w:right w:w="108" w:type="dxa"/>
          </w:tblCellMar>
        </w:tblPrEx>
        <w:tc>
          <w:tcPr>
            <w:tcW w:w="587" w:type="dxa"/>
            <w:tcBorders>
              <w:bottom w:val="single" w:color="7F7F7F" w:sz="6" w:space="0"/>
            </w:tcBorders>
            <w:shd w:val="clear" w:color="auto" w:fill="auto"/>
          </w:tcPr>
          <w:p w14:paraId="66872553">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3</w:t>
            </w:r>
          </w:p>
        </w:tc>
        <w:tc>
          <w:tcPr>
            <w:tcW w:w="1822" w:type="dxa"/>
            <w:tcBorders>
              <w:bottom w:val="single" w:color="7F7F7F" w:sz="6" w:space="0"/>
            </w:tcBorders>
            <w:shd w:val="clear" w:color="auto" w:fill="auto"/>
          </w:tcPr>
          <w:p w14:paraId="78A9DC4E">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Objectives</w:t>
            </w:r>
          </w:p>
        </w:tc>
        <w:tc>
          <w:tcPr>
            <w:tcW w:w="7041" w:type="dxa"/>
            <w:tcBorders>
              <w:bottom w:val="single" w:color="7F7F7F" w:sz="6" w:space="0"/>
            </w:tcBorders>
            <w:shd w:val="clear" w:color="auto" w:fill="auto"/>
          </w:tcPr>
          <w:p w14:paraId="29922B64">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State specific objectives clearly, including pre-specified causal hypotheses (if any). State that MR is a method that, under specific assumptions, intends to estimate causal effects</w:t>
            </w:r>
          </w:p>
        </w:tc>
        <w:tc>
          <w:tcPr>
            <w:tcW w:w="720" w:type="dxa"/>
            <w:tcBorders>
              <w:bottom w:val="single" w:color="7F7F7F" w:sz="6" w:space="0"/>
            </w:tcBorders>
          </w:tcPr>
          <w:p w14:paraId="3A094779">
            <w:pPr>
              <w:spacing w:before="96" w:beforeLines="40" w:after="96" w:afterLines="40" w:line="24" w:lineRule="atLeast"/>
              <w:rPr>
                <w:rFonts w:hint="eastAsia" w:eastAsia="宋体"/>
                <w:sz w:val="18"/>
                <w:szCs w:val="18"/>
                <w:lang w:val="en-US" w:eastAsia="zh-CN"/>
              </w:rPr>
            </w:pPr>
            <w:r>
              <w:rPr>
                <w:rFonts w:hint="eastAsia" w:eastAsia="宋体"/>
                <w:sz w:val="18"/>
                <w:szCs w:val="18"/>
                <w:lang w:val="en-US" w:eastAsia="zh-CN"/>
              </w:rPr>
              <w:t>3</w:t>
            </w:r>
          </w:p>
        </w:tc>
        <w:tc>
          <w:tcPr>
            <w:tcW w:w="4320" w:type="dxa"/>
            <w:tcBorders>
              <w:bottom w:val="single" w:color="7F7F7F" w:sz="6" w:space="0"/>
            </w:tcBorders>
          </w:tcPr>
          <w:p w14:paraId="23B844A9">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We conducted a bidirectional two-sample MR analysis following STROBE-MR guidelines to investigate potential causal relationships between MI and urinary system cancers, specifically PCa, BCa, and MRN.</w:t>
            </w:r>
          </w:p>
        </w:tc>
      </w:tr>
      <w:tr w14:paraId="37C2F2AD">
        <w:tblPrEx>
          <w:tblCellMar>
            <w:top w:w="0" w:type="dxa"/>
            <w:left w:w="108" w:type="dxa"/>
            <w:bottom w:w="0" w:type="dxa"/>
            <w:right w:w="108" w:type="dxa"/>
          </w:tblCellMar>
        </w:tblPrEx>
        <w:tc>
          <w:tcPr>
            <w:tcW w:w="587" w:type="dxa"/>
            <w:tcBorders>
              <w:top w:val="single" w:color="7F7F7F" w:sz="6" w:space="0"/>
            </w:tcBorders>
            <w:shd w:val="clear" w:color="auto" w:fill="EEEEEE"/>
          </w:tcPr>
          <w:p w14:paraId="1F476BA9">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EEEEEE"/>
          </w:tcPr>
          <w:p w14:paraId="6B677B3E">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METHODS</w:t>
            </w:r>
          </w:p>
        </w:tc>
        <w:tc>
          <w:tcPr>
            <w:tcW w:w="7041" w:type="dxa"/>
            <w:tcBorders>
              <w:top w:val="single" w:color="7F7F7F" w:sz="6" w:space="0"/>
            </w:tcBorders>
            <w:shd w:val="clear" w:color="auto" w:fill="EEEEEE"/>
          </w:tcPr>
          <w:p w14:paraId="6464753E">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shd w:val="clear" w:color="auto" w:fill="EEEEEE"/>
          </w:tcPr>
          <w:p w14:paraId="7A772A76">
            <w:pPr>
              <w:spacing w:before="96" w:beforeLines="40" w:after="96" w:afterLines="40" w:line="24" w:lineRule="atLeast"/>
              <w:rPr>
                <w:rFonts w:hint="eastAsia" w:eastAsia="宋体"/>
                <w:sz w:val="18"/>
                <w:szCs w:val="18"/>
                <w:lang w:val="en-US" w:eastAsia="zh-CN"/>
              </w:rPr>
            </w:pPr>
            <w:r>
              <w:rPr>
                <w:rFonts w:hint="eastAsia" w:eastAsia="宋体"/>
                <w:sz w:val="18"/>
                <w:szCs w:val="18"/>
                <w:lang w:val="en-US" w:eastAsia="zh-CN"/>
              </w:rPr>
              <w:t>3-4</w:t>
            </w:r>
          </w:p>
        </w:tc>
        <w:tc>
          <w:tcPr>
            <w:tcW w:w="4320" w:type="dxa"/>
            <w:tcBorders>
              <w:top w:val="single" w:color="7F7F7F" w:sz="6" w:space="0"/>
            </w:tcBorders>
            <w:shd w:val="clear" w:color="auto" w:fill="EEEEEE"/>
          </w:tcPr>
          <w:p w14:paraId="1ED72146">
            <w:pPr>
              <w:spacing w:before="96" w:beforeLines="40" w:after="96" w:afterLines="40" w:line="24" w:lineRule="atLeast"/>
              <w:rPr>
                <w:rFonts w:hint="default" w:eastAsia="宋体"/>
                <w:sz w:val="18"/>
                <w:szCs w:val="18"/>
                <w:lang w:val="en-US" w:eastAsia="zh-CN"/>
              </w:rPr>
            </w:pPr>
            <w:r>
              <w:rPr>
                <w:rFonts w:hint="default" w:eastAsia="Cambria"/>
                <w:sz w:val="18"/>
                <w:szCs w:val="18"/>
                <w:lang w:val="en-GB" w:eastAsia="en-US"/>
              </w:rPr>
              <w:t>Our analytical framework adhered to three fundamental MR assumptions: relevance (genome-wide significance P &lt; 5×10^-8), independence (absence of confounding factors), and exclusion restriction (no horizontal pleiotropy). s</w:t>
            </w:r>
            <w:r>
              <w:rPr>
                <w:rFonts w:hint="eastAsia" w:eastAsia="宋体"/>
                <w:sz w:val="18"/>
                <w:szCs w:val="18"/>
                <w:lang w:val="en-US" w:eastAsia="zh-CN"/>
              </w:rPr>
              <w:t>.....</w:t>
            </w:r>
          </w:p>
        </w:tc>
      </w:tr>
      <w:tr w14:paraId="0B4DEE13">
        <w:tblPrEx>
          <w:tblCellMar>
            <w:top w:w="0" w:type="dxa"/>
            <w:left w:w="108" w:type="dxa"/>
            <w:bottom w:w="0" w:type="dxa"/>
            <w:right w:w="108" w:type="dxa"/>
          </w:tblCellMar>
        </w:tblPrEx>
        <w:tc>
          <w:tcPr>
            <w:tcW w:w="587" w:type="dxa"/>
            <w:shd w:val="clear" w:color="auto" w:fill="auto"/>
          </w:tcPr>
          <w:p w14:paraId="7B9BB1CD">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4</w:t>
            </w:r>
          </w:p>
        </w:tc>
        <w:tc>
          <w:tcPr>
            <w:tcW w:w="1822" w:type="dxa"/>
            <w:shd w:val="clear" w:color="auto" w:fill="auto"/>
          </w:tcPr>
          <w:p w14:paraId="570D6554">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Study design and data sources</w:t>
            </w:r>
          </w:p>
        </w:tc>
        <w:tc>
          <w:tcPr>
            <w:tcW w:w="7041" w:type="dxa"/>
            <w:shd w:val="clear" w:color="auto" w:fill="auto"/>
          </w:tcPr>
          <w:p w14:paraId="73877CCC">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Present key elements of the study design early in the article. Consider including a table listing sources of data for all phases of the study. For each data source contributing to the analysis, describe the following: </w:t>
            </w:r>
          </w:p>
        </w:tc>
        <w:tc>
          <w:tcPr>
            <w:tcW w:w="720" w:type="dxa"/>
          </w:tcPr>
          <w:p w14:paraId="24B6052E">
            <w:pPr>
              <w:spacing w:before="96" w:beforeLines="40" w:after="96" w:afterLines="40" w:line="24" w:lineRule="atLeast"/>
              <w:rPr>
                <w:rFonts w:hint="default" w:eastAsia="宋体"/>
                <w:sz w:val="18"/>
                <w:szCs w:val="18"/>
                <w:lang w:val="en-US" w:eastAsia="zh-CN"/>
              </w:rPr>
            </w:pPr>
          </w:p>
        </w:tc>
        <w:tc>
          <w:tcPr>
            <w:tcW w:w="4320" w:type="dxa"/>
          </w:tcPr>
          <w:p w14:paraId="18641610">
            <w:pPr>
              <w:spacing w:before="96" w:beforeLines="40" w:after="96" w:afterLines="40" w:line="24" w:lineRule="atLeast"/>
              <w:rPr>
                <w:rFonts w:eastAsia="Times New Roman"/>
                <w:sz w:val="18"/>
                <w:szCs w:val="18"/>
                <w:lang w:val="en-GB" w:eastAsia="en-GB"/>
              </w:rPr>
            </w:pPr>
          </w:p>
        </w:tc>
      </w:tr>
      <w:tr w14:paraId="675FD0B5">
        <w:tblPrEx>
          <w:tblCellMar>
            <w:top w:w="0" w:type="dxa"/>
            <w:left w:w="108" w:type="dxa"/>
            <w:bottom w:w="0" w:type="dxa"/>
            <w:right w:w="108" w:type="dxa"/>
          </w:tblCellMar>
        </w:tblPrEx>
        <w:tc>
          <w:tcPr>
            <w:tcW w:w="587" w:type="dxa"/>
            <w:shd w:val="clear" w:color="auto" w:fill="EEEEEE"/>
          </w:tcPr>
          <w:p w14:paraId="5268657A">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14:paraId="6FD6CA76">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EEEEEE"/>
          </w:tcPr>
          <w:p w14:paraId="4EA3DE22">
            <w:pPr>
              <w:spacing w:before="96" w:beforeLines="40" w:after="96" w:afterLines="40" w:line="24" w:lineRule="atLeast"/>
              <w:rPr>
                <w:rFonts w:eastAsia="Cambria"/>
                <w:sz w:val="18"/>
                <w:szCs w:val="18"/>
                <w:lang w:val="en-GB" w:eastAsia="en-US"/>
              </w:rPr>
            </w:pPr>
            <w:r>
              <w:rPr>
                <w:rFonts w:eastAsia="Times New Roman"/>
                <w:sz w:val="18"/>
                <w:szCs w:val="18"/>
                <w:shd w:val="clear" w:color="auto" w:fill="FFFFFF"/>
                <w:lang w:val="en-GB" w:eastAsia="en-GB"/>
              </w:rPr>
              <w:t xml:space="preserve">Setting: </w:t>
            </w:r>
            <w:r>
              <w:rPr>
                <w:rFonts w:eastAsia="Times New Roman"/>
                <w:sz w:val="18"/>
                <w:szCs w:val="18"/>
                <w:lang w:val="en-GB" w:eastAsia="en-GB"/>
              </w:rPr>
              <w:t xml:space="preserve">Describe the study design and the underlying population, if possible. </w:t>
            </w:r>
            <w:r>
              <w:rPr>
                <w:rFonts w:eastAsia="Times New Roman"/>
                <w:sz w:val="18"/>
                <w:szCs w:val="18"/>
                <w:shd w:val="clear" w:color="auto" w:fill="FFFFFF"/>
                <w:lang w:val="en-GB" w:eastAsia="en-GB"/>
              </w:rPr>
              <w:t xml:space="preserve">Describe the setting, locations, and relevant dates, including periods </w:t>
            </w:r>
            <w:r>
              <w:rPr>
                <w:rFonts w:eastAsia="Times New Roman"/>
                <w:color w:val="000000"/>
                <w:sz w:val="18"/>
                <w:szCs w:val="18"/>
                <w:shd w:val="clear" w:color="auto" w:fill="FFFFFF"/>
                <w:lang w:val="en-GB" w:eastAsia="en-GB"/>
              </w:rPr>
              <w:t>of recruitment, exposure, follow-up, and data collection, when available.</w:t>
            </w:r>
          </w:p>
        </w:tc>
        <w:tc>
          <w:tcPr>
            <w:tcW w:w="720" w:type="dxa"/>
            <w:shd w:val="clear" w:color="auto" w:fill="EEEEEE"/>
          </w:tcPr>
          <w:p w14:paraId="02798B3D">
            <w:pPr>
              <w:spacing w:before="96" w:beforeLines="40" w:after="96" w:afterLines="40" w:line="24" w:lineRule="atLeast"/>
              <w:rPr>
                <w:rFonts w:hint="default" w:eastAsia="宋体"/>
                <w:sz w:val="18"/>
                <w:szCs w:val="18"/>
                <w:shd w:val="clear" w:color="auto" w:fill="FFFFFF"/>
                <w:lang w:val="en-US" w:eastAsia="zh-CN"/>
              </w:rPr>
            </w:pPr>
            <w:r>
              <w:rPr>
                <w:rFonts w:hint="eastAsia" w:eastAsia="宋体"/>
                <w:sz w:val="18"/>
                <w:szCs w:val="18"/>
                <w:shd w:val="clear" w:color="auto" w:fill="FFFFFF"/>
                <w:lang w:val="en-US" w:eastAsia="zh-CN"/>
              </w:rPr>
              <w:t>4</w:t>
            </w:r>
          </w:p>
        </w:tc>
        <w:tc>
          <w:tcPr>
            <w:tcW w:w="4320" w:type="dxa"/>
            <w:shd w:val="clear" w:color="auto" w:fill="EEEEEE"/>
          </w:tcPr>
          <w:p w14:paraId="59BCE87D">
            <w:pPr>
              <w:spacing w:before="96" w:beforeLines="40" w:after="96" w:afterLines="40" w:line="24" w:lineRule="atLeast"/>
              <w:rPr>
                <w:rFonts w:hint="default" w:eastAsia="宋体"/>
                <w:sz w:val="18"/>
                <w:szCs w:val="18"/>
                <w:shd w:val="clear" w:color="auto" w:fill="FFFFFF"/>
                <w:lang w:val="en-US" w:eastAsia="zh-CN"/>
              </w:rPr>
            </w:pPr>
            <w:r>
              <w:rPr>
                <w:rFonts w:hint="default" w:eastAsia="Times New Roman"/>
                <w:sz w:val="18"/>
                <w:szCs w:val="18"/>
                <w:shd w:val="clear" w:color="auto" w:fill="FFFFFF"/>
                <w:lang w:val="en-GB" w:eastAsia="en-GB"/>
              </w:rPr>
              <w:t>All MR analyses utilized publicly available genome-wide association study (GWAS) summary statistics accessed through the IEU Open GWAS database. We selected MI phenotype (ID: ebi-a-GCST011364) as exposure data</w:t>
            </w:r>
            <w:r>
              <w:rPr>
                <w:rFonts w:hint="eastAsia" w:eastAsia="宋体"/>
                <w:sz w:val="18"/>
                <w:szCs w:val="18"/>
                <w:shd w:val="clear" w:color="auto" w:fill="FFFFFF"/>
                <w:lang w:val="en-US" w:eastAsia="zh-CN"/>
              </w:rPr>
              <w:t>...</w:t>
            </w:r>
          </w:p>
        </w:tc>
      </w:tr>
      <w:tr w14:paraId="4656E0DE">
        <w:tblPrEx>
          <w:tblCellMar>
            <w:top w:w="0" w:type="dxa"/>
            <w:left w:w="108" w:type="dxa"/>
            <w:bottom w:w="0" w:type="dxa"/>
            <w:right w:w="108" w:type="dxa"/>
          </w:tblCellMar>
        </w:tblPrEx>
        <w:tc>
          <w:tcPr>
            <w:tcW w:w="587" w:type="dxa"/>
            <w:shd w:val="clear" w:color="auto" w:fill="auto"/>
          </w:tcPr>
          <w:p w14:paraId="401D0770">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218C23B6">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auto"/>
          </w:tcPr>
          <w:p w14:paraId="47CBAC5C">
            <w:pPr>
              <w:spacing w:before="96" w:beforeLines="40" w:after="96" w:afterLines="40"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 xml:space="preserve">Participants: Give the eligibility criteria, and the sources and methods of selection of participants. </w:t>
            </w:r>
            <w:r>
              <w:rPr>
                <w:rFonts w:eastAsia="Times New Roman"/>
                <w:color w:val="000000"/>
                <w:sz w:val="18"/>
                <w:szCs w:val="18"/>
              </w:rPr>
              <w:t>Report the sample size, and whether any power or sample size calculations were carried out prior to the main analysis</w:t>
            </w:r>
            <w:r>
              <w:rPr>
                <w:rFonts w:eastAsia="Times New Roman"/>
                <w:sz w:val="18"/>
                <w:szCs w:val="18"/>
                <w:lang w:val="en-GB" w:eastAsia="en-GB"/>
              </w:rPr>
              <w:t> </w:t>
            </w:r>
          </w:p>
        </w:tc>
        <w:tc>
          <w:tcPr>
            <w:tcW w:w="720" w:type="dxa"/>
          </w:tcPr>
          <w:p w14:paraId="7ACAF1DA">
            <w:pPr>
              <w:spacing w:before="96" w:beforeLines="40" w:after="96" w:afterLines="40" w:line="24" w:lineRule="atLeast"/>
              <w:textAlignment w:val="baseline"/>
              <w:rPr>
                <w:rFonts w:hint="eastAsia" w:eastAsia="宋体"/>
                <w:sz w:val="18"/>
                <w:szCs w:val="18"/>
                <w:shd w:val="clear" w:color="auto" w:fill="FFFFFF"/>
                <w:lang w:val="en-US" w:eastAsia="zh-CN"/>
              </w:rPr>
            </w:pPr>
            <w:r>
              <w:rPr>
                <w:rFonts w:hint="eastAsia" w:eastAsia="宋体"/>
                <w:sz w:val="18"/>
                <w:szCs w:val="18"/>
                <w:shd w:val="clear" w:color="auto" w:fill="FFFFFF"/>
                <w:lang w:val="en-US" w:eastAsia="zh-CN"/>
              </w:rPr>
              <w:t>4</w:t>
            </w:r>
          </w:p>
        </w:tc>
        <w:tc>
          <w:tcPr>
            <w:tcW w:w="4320" w:type="dxa"/>
          </w:tcPr>
          <w:p w14:paraId="627FE5EF">
            <w:pPr>
              <w:spacing w:before="96" w:beforeLines="40" w:after="96" w:afterLines="40" w:line="24" w:lineRule="atLeast"/>
              <w:textAlignment w:val="baseline"/>
              <w:rPr>
                <w:rFonts w:hint="default" w:eastAsia="宋体"/>
                <w:sz w:val="18"/>
                <w:szCs w:val="18"/>
                <w:shd w:val="clear" w:color="auto" w:fill="FFFFFF"/>
                <w:lang w:val="en-US" w:eastAsia="zh-CN"/>
              </w:rPr>
            </w:pPr>
            <w:r>
              <w:rPr>
                <w:rFonts w:hint="default" w:eastAsia="Times New Roman"/>
                <w:sz w:val="18"/>
                <w:szCs w:val="18"/>
                <w:shd w:val="clear" w:color="auto" w:fill="FFFFFF"/>
                <w:lang w:val="en-GB" w:eastAsia="en-GB"/>
              </w:rPr>
              <w:t>PCa discovery data originated from UK Biobank with PRACTICAL consortium providing replication samples; BCa discovery cohort was sourced from MRC-IEU with UK Biobank (ID: ieu-b-4874) serving as validation; MRN utilized FinnGen_R12</w:t>
            </w:r>
            <w:r>
              <w:rPr>
                <w:rFonts w:hint="eastAsia" w:eastAsia="宋体"/>
                <w:sz w:val="18"/>
                <w:szCs w:val="18"/>
                <w:shd w:val="clear" w:color="auto" w:fill="FFFFFF"/>
                <w:lang w:val="en-US" w:eastAsia="zh-CN"/>
              </w:rPr>
              <w:t>...</w:t>
            </w:r>
          </w:p>
        </w:tc>
      </w:tr>
      <w:tr w14:paraId="2454619B">
        <w:tblPrEx>
          <w:tblCellMar>
            <w:top w:w="0" w:type="dxa"/>
            <w:left w:w="108" w:type="dxa"/>
            <w:bottom w:w="0" w:type="dxa"/>
            <w:right w:w="108" w:type="dxa"/>
          </w:tblCellMar>
        </w:tblPrEx>
        <w:tc>
          <w:tcPr>
            <w:tcW w:w="587" w:type="dxa"/>
            <w:shd w:val="clear" w:color="auto" w:fill="EEEEEE"/>
          </w:tcPr>
          <w:p w14:paraId="64F28A73">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14:paraId="15806306">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EEEEEE"/>
          </w:tcPr>
          <w:p w14:paraId="6A205131">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measurement, quality control and selection of genetic variants</w:t>
            </w:r>
          </w:p>
        </w:tc>
        <w:tc>
          <w:tcPr>
            <w:tcW w:w="720" w:type="dxa"/>
            <w:shd w:val="clear" w:color="auto" w:fill="EEEEEE"/>
          </w:tcPr>
          <w:p w14:paraId="5ECEC694">
            <w:pPr>
              <w:spacing w:before="96" w:beforeLines="40" w:after="96" w:afterLines="40" w:line="24" w:lineRule="atLeast"/>
              <w:rPr>
                <w:rFonts w:hint="eastAsia" w:eastAsia="宋体"/>
                <w:sz w:val="18"/>
                <w:szCs w:val="18"/>
                <w:lang w:val="en-US" w:eastAsia="zh-CN"/>
              </w:rPr>
            </w:pPr>
            <w:r>
              <w:rPr>
                <w:rFonts w:hint="eastAsia" w:eastAsia="宋体"/>
                <w:sz w:val="18"/>
                <w:szCs w:val="18"/>
                <w:lang w:val="en-US" w:eastAsia="zh-CN"/>
              </w:rPr>
              <w:t>4</w:t>
            </w:r>
          </w:p>
        </w:tc>
        <w:tc>
          <w:tcPr>
            <w:tcW w:w="4320" w:type="dxa"/>
            <w:shd w:val="clear" w:color="auto" w:fill="EEEEEE"/>
          </w:tcPr>
          <w:p w14:paraId="2D3E5E00">
            <w:pPr>
              <w:spacing w:before="96" w:beforeLines="40" w:after="96" w:afterLines="40" w:line="24" w:lineRule="atLeast"/>
              <w:rPr>
                <w:rFonts w:hint="default" w:eastAsia="宋体"/>
                <w:sz w:val="18"/>
                <w:szCs w:val="18"/>
                <w:lang w:val="en-US" w:eastAsia="zh-CN"/>
              </w:rPr>
            </w:pPr>
            <w:r>
              <w:rPr>
                <w:rFonts w:hint="default" w:eastAsia="Times New Roman"/>
                <w:sz w:val="18"/>
                <w:szCs w:val="18"/>
                <w:lang w:val="en-GB" w:eastAsia="en-GB"/>
              </w:rPr>
              <w:t>Single nucleotide polymorphisms (SNPs) served as genetic instrumental variables in our MR framework through a rigorous multi-stage selection protocol. We initially extracted genome-wide significant variants (P &lt; 5×10^-8) from exposure GWAS data, maintaining this threshold consistently across forward and reverse MR analyses</w:t>
            </w:r>
            <w:r>
              <w:rPr>
                <w:rFonts w:hint="eastAsia" w:eastAsia="宋体"/>
                <w:sz w:val="18"/>
                <w:szCs w:val="18"/>
                <w:lang w:val="en-US" w:eastAsia="zh-CN"/>
              </w:rPr>
              <w:t>.....</w:t>
            </w:r>
          </w:p>
        </w:tc>
      </w:tr>
      <w:tr w14:paraId="489A6313">
        <w:tblPrEx>
          <w:tblCellMar>
            <w:top w:w="0" w:type="dxa"/>
            <w:left w:w="108" w:type="dxa"/>
            <w:bottom w:w="0" w:type="dxa"/>
            <w:right w:w="108" w:type="dxa"/>
          </w:tblCellMar>
        </w:tblPrEx>
        <w:tc>
          <w:tcPr>
            <w:tcW w:w="587" w:type="dxa"/>
            <w:shd w:val="clear" w:color="auto" w:fill="auto"/>
          </w:tcPr>
          <w:p w14:paraId="30D8DDEE">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66A61E40">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auto"/>
          </w:tcPr>
          <w:p w14:paraId="42CC8510">
            <w:pPr>
              <w:spacing w:before="96" w:beforeLines="40" w:after="96" w:afterLines="40"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For each exposure, outcome, and other relevant variables, describe methods of assessment and diagnostic criteria for diseases</w:t>
            </w:r>
          </w:p>
        </w:tc>
        <w:tc>
          <w:tcPr>
            <w:tcW w:w="720" w:type="dxa"/>
          </w:tcPr>
          <w:p w14:paraId="43F90E4D">
            <w:pPr>
              <w:spacing w:before="96" w:beforeLines="40" w:after="96" w:afterLines="40" w:line="24" w:lineRule="atLeast"/>
              <w:textAlignment w:val="baseline"/>
              <w:rPr>
                <w:rFonts w:hint="eastAsia" w:eastAsia="宋体"/>
                <w:sz w:val="18"/>
                <w:szCs w:val="18"/>
                <w:shd w:val="clear" w:color="auto" w:fill="FFFFFF"/>
                <w:lang w:val="en-US" w:eastAsia="zh-CN"/>
              </w:rPr>
            </w:pPr>
            <w:r>
              <w:rPr>
                <w:rFonts w:hint="eastAsia" w:eastAsia="宋体"/>
                <w:sz w:val="18"/>
                <w:szCs w:val="18"/>
                <w:shd w:val="clear" w:color="auto" w:fill="FFFFFF"/>
                <w:lang w:val="en-US" w:eastAsia="zh-CN"/>
              </w:rPr>
              <w:t>4</w:t>
            </w:r>
          </w:p>
        </w:tc>
        <w:tc>
          <w:tcPr>
            <w:tcW w:w="4320" w:type="dxa"/>
          </w:tcPr>
          <w:p w14:paraId="0965050A">
            <w:pPr>
              <w:spacing w:before="96" w:beforeLines="40" w:after="96" w:afterLines="40" w:line="24" w:lineRule="atLeast"/>
              <w:textAlignment w:val="baseline"/>
              <w:rPr>
                <w:rFonts w:eastAsia="Times New Roman"/>
                <w:sz w:val="18"/>
                <w:szCs w:val="18"/>
                <w:shd w:val="clear" w:color="auto" w:fill="FFFFFF"/>
                <w:lang w:val="en-GB" w:eastAsia="en-GB"/>
              </w:rPr>
            </w:pPr>
            <w:r>
              <w:rPr>
                <w:rFonts w:hint="default" w:eastAsia="Times New Roman"/>
                <w:sz w:val="18"/>
                <w:szCs w:val="18"/>
                <w:shd w:val="clear" w:color="auto" w:fill="FFFFFF"/>
                <w:lang w:val="en-GB" w:eastAsia="en-GB"/>
              </w:rPr>
              <w:t>Detailed information regarding data sources is provided in Supplementary Table 1 and Table 1</w:t>
            </w:r>
          </w:p>
        </w:tc>
      </w:tr>
      <w:tr w14:paraId="0FA7D9C0">
        <w:tblPrEx>
          <w:tblCellMar>
            <w:top w:w="0" w:type="dxa"/>
            <w:left w:w="108" w:type="dxa"/>
            <w:bottom w:w="0" w:type="dxa"/>
            <w:right w:w="108" w:type="dxa"/>
          </w:tblCellMar>
        </w:tblPrEx>
        <w:tc>
          <w:tcPr>
            <w:tcW w:w="587" w:type="dxa"/>
            <w:shd w:val="clear" w:color="auto" w:fill="EEEEEE"/>
          </w:tcPr>
          <w:p w14:paraId="6AF7B4E2">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14:paraId="0CCC9366">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e)</w:t>
            </w:r>
          </w:p>
        </w:tc>
        <w:tc>
          <w:tcPr>
            <w:tcW w:w="7041" w:type="dxa"/>
            <w:shd w:val="clear" w:color="auto" w:fill="EEEEEE"/>
          </w:tcPr>
          <w:p w14:paraId="01312D62">
            <w:pPr>
              <w:spacing w:before="96" w:beforeLines="40" w:after="96" w:afterLines="40"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Provide details of ethics committee approval and participant informed consent, if relevant</w:t>
            </w:r>
          </w:p>
        </w:tc>
        <w:tc>
          <w:tcPr>
            <w:tcW w:w="720" w:type="dxa"/>
            <w:shd w:val="clear" w:color="auto" w:fill="EEEEEE"/>
          </w:tcPr>
          <w:p w14:paraId="37CEFE5F">
            <w:pPr>
              <w:spacing w:before="96" w:beforeLines="40" w:after="96" w:afterLines="40" w:line="24" w:lineRule="atLeast"/>
              <w:textAlignment w:val="baseline"/>
              <w:rPr>
                <w:rFonts w:eastAsia="Times New Roman"/>
                <w:sz w:val="18"/>
                <w:szCs w:val="18"/>
                <w:shd w:val="clear" w:color="auto" w:fill="FFFFFF"/>
                <w:lang w:val="en-GB" w:eastAsia="en-GB"/>
              </w:rPr>
            </w:pPr>
          </w:p>
        </w:tc>
        <w:tc>
          <w:tcPr>
            <w:tcW w:w="4320" w:type="dxa"/>
            <w:shd w:val="clear" w:color="auto" w:fill="EEEEEE"/>
          </w:tcPr>
          <w:p w14:paraId="2E017EB6">
            <w:pPr>
              <w:spacing w:before="96" w:beforeLines="40" w:after="96" w:afterLines="40" w:line="24" w:lineRule="atLeast"/>
              <w:textAlignment w:val="baseline"/>
              <w:rPr>
                <w:rFonts w:hint="default" w:eastAsia="宋体"/>
                <w:sz w:val="18"/>
                <w:szCs w:val="18"/>
                <w:shd w:val="clear" w:color="auto" w:fill="FFFFFF"/>
                <w:lang w:val="en-US" w:eastAsia="zh-CN"/>
              </w:rPr>
            </w:pPr>
            <w:r>
              <w:rPr>
                <w:rFonts w:hint="eastAsia" w:eastAsia="宋体"/>
                <w:sz w:val="18"/>
                <w:szCs w:val="18"/>
                <w:shd w:val="clear" w:color="auto" w:fill="FFFFFF"/>
                <w:lang w:val="en-US" w:eastAsia="zh-CN"/>
              </w:rPr>
              <w:t>NA</w:t>
            </w:r>
          </w:p>
        </w:tc>
      </w:tr>
      <w:tr w14:paraId="75C71B10">
        <w:tblPrEx>
          <w:tblCellMar>
            <w:top w:w="0" w:type="dxa"/>
            <w:left w:w="108" w:type="dxa"/>
            <w:bottom w:w="0" w:type="dxa"/>
            <w:right w:w="108" w:type="dxa"/>
          </w:tblCellMar>
        </w:tblPrEx>
        <w:tc>
          <w:tcPr>
            <w:tcW w:w="587" w:type="dxa"/>
            <w:shd w:val="clear" w:color="auto" w:fill="auto"/>
          </w:tcPr>
          <w:p w14:paraId="1654C4CE">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5</w:t>
            </w:r>
          </w:p>
        </w:tc>
        <w:tc>
          <w:tcPr>
            <w:tcW w:w="1822" w:type="dxa"/>
            <w:shd w:val="clear" w:color="auto" w:fill="auto"/>
          </w:tcPr>
          <w:p w14:paraId="465F9232">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Assumptions</w:t>
            </w:r>
          </w:p>
          <w:p w14:paraId="77E41467">
            <w:pPr>
              <w:spacing w:before="96" w:beforeLines="40" w:after="96" w:afterLines="40" w:line="24" w:lineRule="atLeast"/>
              <w:jc w:val="center"/>
              <w:rPr>
                <w:rFonts w:eastAsia="Cambria"/>
                <w:sz w:val="18"/>
                <w:szCs w:val="18"/>
                <w:lang w:val="en-GB" w:eastAsia="en-US"/>
              </w:rPr>
            </w:pPr>
          </w:p>
        </w:tc>
        <w:tc>
          <w:tcPr>
            <w:tcW w:w="7041" w:type="dxa"/>
            <w:shd w:val="clear" w:color="auto" w:fill="auto"/>
          </w:tcPr>
          <w:p w14:paraId="08D19A61">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Explicitly state the three core IV assumptions for the main analysis (relevance, independence and exclusion restriction) as well assumptions for any additional or sensitivity analysis</w:t>
            </w:r>
          </w:p>
        </w:tc>
        <w:tc>
          <w:tcPr>
            <w:tcW w:w="720" w:type="dxa"/>
          </w:tcPr>
          <w:p w14:paraId="0C56B9A4">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11</w:t>
            </w:r>
          </w:p>
        </w:tc>
        <w:tc>
          <w:tcPr>
            <w:tcW w:w="4320" w:type="dxa"/>
          </w:tcPr>
          <w:p w14:paraId="7E95E3F3">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he directed acyclic graph (DAG) illustrates the three fundamental assumptions of Mendelian randomization:.</w:t>
            </w:r>
          </w:p>
        </w:tc>
      </w:tr>
      <w:tr w14:paraId="5CB2085D">
        <w:tblPrEx>
          <w:tblCellMar>
            <w:top w:w="0" w:type="dxa"/>
            <w:left w:w="108" w:type="dxa"/>
            <w:bottom w:w="0" w:type="dxa"/>
            <w:right w:w="108" w:type="dxa"/>
          </w:tblCellMar>
        </w:tblPrEx>
        <w:tc>
          <w:tcPr>
            <w:tcW w:w="587" w:type="dxa"/>
            <w:shd w:val="clear" w:color="auto" w:fill="EEEEEE"/>
          </w:tcPr>
          <w:p w14:paraId="01433DDA">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6</w:t>
            </w:r>
          </w:p>
        </w:tc>
        <w:tc>
          <w:tcPr>
            <w:tcW w:w="1822" w:type="dxa"/>
            <w:shd w:val="clear" w:color="auto" w:fill="EEEEEE"/>
          </w:tcPr>
          <w:p w14:paraId="56259794">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Statistical methods: main analysis</w:t>
            </w:r>
          </w:p>
        </w:tc>
        <w:tc>
          <w:tcPr>
            <w:tcW w:w="7041" w:type="dxa"/>
            <w:shd w:val="clear" w:color="auto" w:fill="EEEEEE"/>
          </w:tcPr>
          <w:p w14:paraId="746202C9">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statistical methods and statistics used</w:t>
            </w:r>
          </w:p>
        </w:tc>
        <w:tc>
          <w:tcPr>
            <w:tcW w:w="720" w:type="dxa"/>
            <w:shd w:val="clear" w:color="auto" w:fill="EEEEEE"/>
          </w:tcPr>
          <w:p w14:paraId="4678A320">
            <w:pPr>
              <w:spacing w:before="96" w:beforeLines="40" w:after="96" w:afterLines="40" w:line="24" w:lineRule="atLeast"/>
              <w:rPr>
                <w:rFonts w:hint="default" w:eastAsia="宋体"/>
                <w:sz w:val="18"/>
                <w:szCs w:val="18"/>
                <w:lang w:val="en-US" w:eastAsia="zh-CN"/>
              </w:rPr>
            </w:pPr>
          </w:p>
        </w:tc>
        <w:tc>
          <w:tcPr>
            <w:tcW w:w="4320" w:type="dxa"/>
            <w:shd w:val="clear" w:color="auto" w:fill="EEEEEE"/>
          </w:tcPr>
          <w:p w14:paraId="6C921123">
            <w:pPr>
              <w:spacing w:before="96" w:beforeLines="40" w:after="96" w:afterLines="40" w:line="24" w:lineRule="atLeast"/>
              <w:rPr>
                <w:rFonts w:hint="default" w:eastAsia="宋体"/>
                <w:sz w:val="18"/>
                <w:szCs w:val="18"/>
                <w:lang w:val="en-US" w:eastAsia="zh-CN"/>
              </w:rPr>
            </w:pPr>
          </w:p>
        </w:tc>
      </w:tr>
      <w:tr w14:paraId="3C31BC79">
        <w:tblPrEx>
          <w:tblCellMar>
            <w:top w:w="0" w:type="dxa"/>
            <w:left w:w="108" w:type="dxa"/>
            <w:bottom w:w="0" w:type="dxa"/>
            <w:right w:w="108" w:type="dxa"/>
          </w:tblCellMar>
        </w:tblPrEx>
        <w:tc>
          <w:tcPr>
            <w:tcW w:w="587" w:type="dxa"/>
            <w:shd w:val="clear" w:color="auto" w:fill="auto"/>
          </w:tcPr>
          <w:p w14:paraId="6409F811">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156E40E8">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14:paraId="502BB37D">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how quantitative variables were handled in the analyses (i.e., scale, units, model)</w:t>
            </w:r>
          </w:p>
        </w:tc>
        <w:tc>
          <w:tcPr>
            <w:tcW w:w="720" w:type="dxa"/>
          </w:tcPr>
          <w:p w14:paraId="73D27520">
            <w:pPr>
              <w:spacing w:before="96" w:beforeLines="40" w:after="96" w:afterLines="40" w:line="24" w:lineRule="atLeast"/>
              <w:rPr>
                <w:rFonts w:hint="eastAsia" w:eastAsia="宋体"/>
                <w:sz w:val="18"/>
                <w:szCs w:val="18"/>
                <w:lang w:val="en-US" w:eastAsia="zh-CN"/>
              </w:rPr>
            </w:pPr>
            <w:r>
              <w:rPr>
                <w:rFonts w:hint="eastAsia" w:eastAsia="宋体"/>
                <w:sz w:val="18"/>
                <w:szCs w:val="18"/>
                <w:lang w:val="en-US" w:eastAsia="zh-CN"/>
              </w:rPr>
              <w:t>4</w:t>
            </w:r>
          </w:p>
        </w:tc>
        <w:tc>
          <w:tcPr>
            <w:tcW w:w="4320" w:type="dxa"/>
          </w:tcPr>
          <w:p w14:paraId="58A036C8">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We initially extracted genome-wide significant variants (P &lt; 5×10^-8) from exposure GWAS data, maintaining this threshold consistently across forward and reverse MR analysess</w:t>
            </w:r>
          </w:p>
        </w:tc>
      </w:tr>
      <w:tr w14:paraId="0E5D533A">
        <w:tblPrEx>
          <w:tblCellMar>
            <w:top w:w="0" w:type="dxa"/>
            <w:left w:w="108" w:type="dxa"/>
            <w:bottom w:w="0" w:type="dxa"/>
            <w:right w:w="108" w:type="dxa"/>
          </w:tblCellMar>
        </w:tblPrEx>
        <w:tc>
          <w:tcPr>
            <w:tcW w:w="587" w:type="dxa"/>
            <w:shd w:val="clear" w:color="auto" w:fill="EEEEEE"/>
          </w:tcPr>
          <w:p w14:paraId="70CAEEB4">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14:paraId="7F5C346E">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14:paraId="04BF6756">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how genetic variants were handled in the analyses and, if applicable, how their weights were selected</w:t>
            </w:r>
          </w:p>
        </w:tc>
        <w:tc>
          <w:tcPr>
            <w:tcW w:w="720" w:type="dxa"/>
            <w:shd w:val="clear" w:color="auto" w:fill="EEEEEE"/>
          </w:tcPr>
          <w:p w14:paraId="6AD20CED">
            <w:pPr>
              <w:spacing w:before="96" w:beforeLines="40" w:after="96" w:afterLines="40" w:line="24" w:lineRule="atLeast"/>
              <w:rPr>
                <w:rFonts w:hint="eastAsia" w:eastAsia="宋体"/>
                <w:sz w:val="18"/>
                <w:szCs w:val="18"/>
                <w:lang w:val="en-US" w:eastAsia="zh-CN"/>
              </w:rPr>
            </w:pPr>
            <w:r>
              <w:rPr>
                <w:rFonts w:hint="eastAsia" w:eastAsia="宋体"/>
                <w:sz w:val="18"/>
                <w:szCs w:val="18"/>
                <w:lang w:val="en-US" w:eastAsia="zh-CN"/>
              </w:rPr>
              <w:t>4</w:t>
            </w:r>
          </w:p>
        </w:tc>
        <w:tc>
          <w:tcPr>
            <w:tcW w:w="4320" w:type="dxa"/>
            <w:shd w:val="clear" w:color="auto" w:fill="EEEEEE"/>
          </w:tcPr>
          <w:p w14:paraId="4C50D4F3">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subsequently applied linkage disequilibrium filtering (r² &lt; 0.001, clumping distance = 10,000 kb) to eliminate correlated variants that could introduce analytical bias; harmonized effect estimates and allele frequencies between exposure and outcome datasets to ensure analytical consistency. Instrumental variable strength was evaluated using F-statistics calculated as F = R²(n-k-1)/k(1-R²), with variants showing F &lt; 10 excluded to maintain adequate statistical power</w:t>
            </w:r>
            <w:r>
              <w:rPr>
                <w:rFonts w:hint="eastAsia" w:eastAsia="宋体"/>
                <w:sz w:val="18"/>
                <w:szCs w:val="18"/>
                <w:lang w:val="en-US" w:eastAsia="zh-CN"/>
              </w:rPr>
              <w:t>..</w:t>
            </w:r>
            <w:r>
              <w:rPr>
                <w:rFonts w:hint="default" w:eastAsia="Times New Roman"/>
                <w:sz w:val="18"/>
                <w:szCs w:val="18"/>
                <w:lang w:val="en-GB" w:eastAsia="en-GB"/>
              </w:rPr>
              <w:t xml:space="preserve">. </w:t>
            </w:r>
          </w:p>
        </w:tc>
      </w:tr>
      <w:tr w14:paraId="53F8AA0E">
        <w:tblPrEx>
          <w:tblCellMar>
            <w:top w:w="0" w:type="dxa"/>
            <w:left w:w="108" w:type="dxa"/>
            <w:bottom w:w="0" w:type="dxa"/>
            <w:right w:w="108" w:type="dxa"/>
          </w:tblCellMar>
        </w:tblPrEx>
        <w:tc>
          <w:tcPr>
            <w:tcW w:w="587" w:type="dxa"/>
            <w:shd w:val="clear" w:color="auto" w:fill="auto"/>
          </w:tcPr>
          <w:p w14:paraId="433F2B53">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64D4EFE0">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auto"/>
          </w:tcPr>
          <w:p w14:paraId="2C578893">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the MR estimator (e.g. two-stage least squares, Wald ratio) and related statistics. Detail the included covariates and, in case of two-sample MR, whether the same covariate set was used for adjustment in the two samples</w:t>
            </w:r>
          </w:p>
        </w:tc>
        <w:tc>
          <w:tcPr>
            <w:tcW w:w="720" w:type="dxa"/>
          </w:tcPr>
          <w:p w14:paraId="0220C279">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4-5</w:t>
            </w:r>
          </w:p>
        </w:tc>
        <w:tc>
          <w:tcPr>
            <w:tcW w:w="4320" w:type="dxa"/>
          </w:tcPr>
          <w:p w14:paraId="747141B6">
            <w:pPr>
              <w:spacing w:before="96" w:beforeLines="40" w:after="96" w:afterLines="40" w:line="24" w:lineRule="atLeast"/>
              <w:rPr>
                <w:rFonts w:hint="default" w:eastAsia="宋体"/>
                <w:sz w:val="18"/>
                <w:szCs w:val="18"/>
                <w:lang w:val="en-US" w:eastAsia="zh-CN"/>
              </w:rPr>
            </w:pPr>
            <w:r>
              <w:rPr>
                <w:rFonts w:hint="default" w:eastAsia="Times New Roman"/>
                <w:sz w:val="18"/>
                <w:szCs w:val="18"/>
                <w:lang w:val="en-GB" w:eastAsia="en-GB"/>
              </w:rPr>
              <w:t>subsequently applied linkage disequilibrium filtering (r² &lt; 0.001, clumping distance = 10,000 kb) to eliminate correlated variants that could introduce analytical bias; harmonized effect estimates and allele frequencies between exposure and outcome datasets to ensure analytical consistency. Instrumental variable strength was evaluated using F-statistics calculated as F = R²(n-k-1)/k(1-R²), with variants showing F &lt; 10 excluded to maintain adequate statistical power</w:t>
            </w:r>
            <w:r>
              <w:rPr>
                <w:rFonts w:hint="eastAsia" w:eastAsia="宋体"/>
                <w:sz w:val="18"/>
                <w:szCs w:val="18"/>
                <w:lang w:val="en-US" w:eastAsia="zh-CN"/>
              </w:rPr>
              <w:t>....</w:t>
            </w:r>
          </w:p>
        </w:tc>
      </w:tr>
      <w:tr w14:paraId="012CC767">
        <w:tblPrEx>
          <w:tblCellMar>
            <w:top w:w="0" w:type="dxa"/>
            <w:left w:w="108" w:type="dxa"/>
            <w:bottom w:w="0" w:type="dxa"/>
            <w:right w:w="108" w:type="dxa"/>
          </w:tblCellMar>
        </w:tblPrEx>
        <w:tc>
          <w:tcPr>
            <w:tcW w:w="587" w:type="dxa"/>
            <w:shd w:val="clear" w:color="auto" w:fill="EEEEEE"/>
          </w:tcPr>
          <w:p w14:paraId="0650E072">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14:paraId="165E6F71">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EEEEEE"/>
          </w:tcPr>
          <w:p w14:paraId="1B9850ED">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Explain how missing data were addressed</w:t>
            </w:r>
          </w:p>
        </w:tc>
        <w:tc>
          <w:tcPr>
            <w:tcW w:w="720" w:type="dxa"/>
            <w:shd w:val="clear" w:color="auto" w:fill="EEEEEE"/>
          </w:tcPr>
          <w:p w14:paraId="496AA445">
            <w:pPr>
              <w:spacing w:before="96" w:beforeLines="40" w:after="96" w:afterLines="40" w:line="24" w:lineRule="atLeast"/>
              <w:rPr>
                <w:rFonts w:eastAsia="Times New Roman"/>
                <w:sz w:val="18"/>
                <w:szCs w:val="18"/>
                <w:lang w:val="en-GB" w:eastAsia="en-GB"/>
              </w:rPr>
            </w:pPr>
          </w:p>
        </w:tc>
        <w:tc>
          <w:tcPr>
            <w:tcW w:w="4320" w:type="dxa"/>
            <w:shd w:val="clear" w:color="auto" w:fill="EEEEEE"/>
          </w:tcPr>
          <w:p w14:paraId="6010FF76">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na</w:t>
            </w:r>
          </w:p>
        </w:tc>
      </w:tr>
      <w:tr w14:paraId="191D103E">
        <w:tblPrEx>
          <w:tblCellMar>
            <w:top w:w="0" w:type="dxa"/>
            <w:left w:w="108" w:type="dxa"/>
            <w:bottom w:w="0" w:type="dxa"/>
            <w:right w:w="108" w:type="dxa"/>
          </w:tblCellMar>
        </w:tblPrEx>
        <w:tc>
          <w:tcPr>
            <w:tcW w:w="587" w:type="dxa"/>
            <w:shd w:val="clear" w:color="auto" w:fill="auto"/>
          </w:tcPr>
          <w:p w14:paraId="46FEA8DE">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3CCE979E">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e)</w:t>
            </w:r>
          </w:p>
        </w:tc>
        <w:tc>
          <w:tcPr>
            <w:tcW w:w="7041" w:type="dxa"/>
            <w:shd w:val="clear" w:color="auto" w:fill="auto"/>
          </w:tcPr>
          <w:p w14:paraId="268F914F">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If applicable, indicate how multiple testing was addressed</w:t>
            </w:r>
          </w:p>
        </w:tc>
        <w:tc>
          <w:tcPr>
            <w:tcW w:w="720" w:type="dxa"/>
          </w:tcPr>
          <w:p w14:paraId="7627440E">
            <w:pPr>
              <w:spacing w:before="96" w:beforeLines="40" w:after="96" w:afterLines="40" w:line="24" w:lineRule="atLeast"/>
              <w:rPr>
                <w:rFonts w:hint="eastAsia" w:eastAsia="宋体"/>
                <w:sz w:val="18"/>
                <w:szCs w:val="18"/>
                <w:lang w:val="en-US" w:eastAsia="zh-CN"/>
              </w:rPr>
            </w:pPr>
          </w:p>
        </w:tc>
        <w:tc>
          <w:tcPr>
            <w:tcW w:w="4320" w:type="dxa"/>
          </w:tcPr>
          <w:p w14:paraId="488DF399">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NA</w:t>
            </w:r>
          </w:p>
        </w:tc>
      </w:tr>
      <w:tr w14:paraId="79B0FA3E">
        <w:tblPrEx>
          <w:tblCellMar>
            <w:top w:w="0" w:type="dxa"/>
            <w:left w:w="108" w:type="dxa"/>
            <w:bottom w:w="0" w:type="dxa"/>
            <w:right w:w="108" w:type="dxa"/>
          </w:tblCellMar>
        </w:tblPrEx>
        <w:tc>
          <w:tcPr>
            <w:tcW w:w="587" w:type="dxa"/>
            <w:shd w:val="clear" w:color="auto" w:fill="EEEEEE"/>
          </w:tcPr>
          <w:p w14:paraId="77BFA76D">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7</w:t>
            </w:r>
          </w:p>
        </w:tc>
        <w:tc>
          <w:tcPr>
            <w:tcW w:w="1822" w:type="dxa"/>
            <w:shd w:val="clear" w:color="auto" w:fill="EEEEEE"/>
          </w:tcPr>
          <w:p w14:paraId="3F29581B">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Assessment of assumptions</w:t>
            </w:r>
          </w:p>
        </w:tc>
        <w:tc>
          <w:tcPr>
            <w:tcW w:w="7041" w:type="dxa"/>
            <w:shd w:val="clear" w:color="auto" w:fill="EEEEEE"/>
          </w:tcPr>
          <w:p w14:paraId="0DAA55F2">
            <w:pPr>
              <w:tabs>
                <w:tab w:val="left" w:pos="1620"/>
              </w:tabs>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any methods or prior knowledge used to assess the assumptions or justify their validity</w:t>
            </w:r>
            <w:r>
              <w:rPr>
                <w:rFonts w:eastAsia="Cambria"/>
                <w:sz w:val="18"/>
                <w:szCs w:val="18"/>
                <w:lang w:val="en-GB" w:eastAsia="en-US"/>
              </w:rPr>
              <w:tab/>
            </w:r>
          </w:p>
        </w:tc>
        <w:tc>
          <w:tcPr>
            <w:tcW w:w="720" w:type="dxa"/>
            <w:shd w:val="clear" w:color="auto" w:fill="EEEEEE"/>
          </w:tcPr>
          <w:p w14:paraId="5D949480">
            <w:pPr>
              <w:tabs>
                <w:tab w:val="left" w:pos="1620"/>
              </w:tabs>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2</w:t>
            </w:r>
          </w:p>
        </w:tc>
        <w:tc>
          <w:tcPr>
            <w:tcW w:w="4320" w:type="dxa"/>
            <w:shd w:val="clear" w:color="auto" w:fill="EEEEEE"/>
          </w:tcPr>
          <w:p w14:paraId="1EE8CEBD">
            <w:pPr>
              <w:tabs>
                <w:tab w:val="left" w:pos="1620"/>
              </w:tabs>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Emerging evidence suggests that therapeutic interventions for prostate cancer (PCa), bladder cancer (BCa), and malignant neoplasm of kidney (MRN) may substantially increase cardiovascular event risks, creating complex bidirectional associations that extend beyond shared risk factors. In PCa management, androgen deprivation therapy (ADT) has been identified as a major contributor to cardiovascular morbidity, with contemporary meta-analyses demonstrating increased risks of MI and stroke among patients receiving ADT....</w:t>
            </w:r>
          </w:p>
        </w:tc>
      </w:tr>
      <w:tr w14:paraId="0F0E9847">
        <w:tblPrEx>
          <w:tblCellMar>
            <w:top w:w="0" w:type="dxa"/>
            <w:left w:w="108" w:type="dxa"/>
            <w:bottom w:w="0" w:type="dxa"/>
            <w:right w:w="108" w:type="dxa"/>
          </w:tblCellMar>
        </w:tblPrEx>
        <w:tc>
          <w:tcPr>
            <w:tcW w:w="587" w:type="dxa"/>
            <w:shd w:val="clear" w:color="auto" w:fill="auto"/>
          </w:tcPr>
          <w:p w14:paraId="0D835C81">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8</w:t>
            </w:r>
          </w:p>
        </w:tc>
        <w:tc>
          <w:tcPr>
            <w:tcW w:w="1822" w:type="dxa"/>
            <w:shd w:val="clear" w:color="auto" w:fill="auto"/>
          </w:tcPr>
          <w:p w14:paraId="0BC25A1A">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Sensitivity analyses and additional analyses</w:t>
            </w:r>
          </w:p>
        </w:tc>
        <w:tc>
          <w:tcPr>
            <w:tcW w:w="7041" w:type="dxa"/>
            <w:shd w:val="clear" w:color="auto" w:fill="auto"/>
          </w:tcPr>
          <w:p w14:paraId="3EFEB9B4">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any sensitivity analyses or additional analyses performed (e.g. comparison of effect estimates from different approaches, independent replication, bias analytic techniques, validation of instruments, simulations)</w:t>
            </w:r>
          </w:p>
        </w:tc>
        <w:tc>
          <w:tcPr>
            <w:tcW w:w="720" w:type="dxa"/>
          </w:tcPr>
          <w:p w14:paraId="039A64E4">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5</w:t>
            </w:r>
          </w:p>
        </w:tc>
        <w:tc>
          <w:tcPr>
            <w:tcW w:w="4320" w:type="dxa"/>
          </w:tcPr>
          <w:p w14:paraId="2D7FDC8E">
            <w:pPr>
              <w:spacing w:before="96" w:beforeLines="40" w:after="96" w:afterLines="40" w:line="24" w:lineRule="atLeast"/>
              <w:rPr>
                <w:rFonts w:hint="default" w:eastAsia="宋体"/>
                <w:sz w:val="18"/>
                <w:szCs w:val="18"/>
                <w:lang w:val="en-US" w:eastAsia="zh-CN"/>
              </w:rPr>
            </w:pPr>
            <w:r>
              <w:rPr>
                <w:rFonts w:hint="default" w:eastAsia="Times New Roman"/>
                <w:sz w:val="18"/>
                <w:szCs w:val="18"/>
                <w:lang w:val="en-GB" w:eastAsia="en-GB"/>
              </w:rPr>
              <w:t>Secondary analyses comprehensively evaluated heterogeneity, pleiotropy, and sensitivity through MR-Egger intercept analysis, where near-zero intercepts suggested low pleiotropy probability, combined with MR-PRESSO global testing for systematic outlier detection and managemen</w:t>
            </w:r>
            <w:r>
              <w:rPr>
                <w:rFonts w:hint="eastAsia" w:eastAsia="宋体"/>
                <w:sz w:val="18"/>
                <w:szCs w:val="18"/>
                <w:lang w:val="en-US" w:eastAsia="zh-CN"/>
              </w:rPr>
              <w:t>t.....</w:t>
            </w:r>
          </w:p>
        </w:tc>
      </w:tr>
      <w:tr w14:paraId="53E7BDE9">
        <w:tblPrEx>
          <w:tblCellMar>
            <w:top w:w="0" w:type="dxa"/>
            <w:left w:w="108" w:type="dxa"/>
            <w:bottom w:w="0" w:type="dxa"/>
            <w:right w:w="108" w:type="dxa"/>
          </w:tblCellMar>
        </w:tblPrEx>
        <w:tc>
          <w:tcPr>
            <w:tcW w:w="587" w:type="dxa"/>
            <w:shd w:val="clear" w:color="auto" w:fill="EEEEEE"/>
          </w:tcPr>
          <w:p w14:paraId="5C3E772C">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9</w:t>
            </w:r>
          </w:p>
        </w:tc>
        <w:tc>
          <w:tcPr>
            <w:tcW w:w="1822" w:type="dxa"/>
            <w:shd w:val="clear" w:color="auto" w:fill="EEEEEE"/>
          </w:tcPr>
          <w:p w14:paraId="66F202A1">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Software and pre-registration</w:t>
            </w:r>
          </w:p>
        </w:tc>
        <w:tc>
          <w:tcPr>
            <w:tcW w:w="7041" w:type="dxa"/>
            <w:shd w:val="clear" w:color="auto" w:fill="EEEEEE"/>
          </w:tcPr>
          <w:p w14:paraId="34B90F71">
            <w:pPr>
              <w:spacing w:before="96" w:beforeLines="40" w:after="96" w:afterLines="40" w:line="24" w:lineRule="atLeast"/>
              <w:rPr>
                <w:rFonts w:eastAsia="Cambria"/>
                <w:sz w:val="18"/>
                <w:szCs w:val="18"/>
                <w:lang w:val="en-GB" w:eastAsia="en-US"/>
              </w:rPr>
            </w:pPr>
          </w:p>
        </w:tc>
        <w:tc>
          <w:tcPr>
            <w:tcW w:w="720" w:type="dxa"/>
            <w:shd w:val="clear" w:color="auto" w:fill="EEEEEE"/>
          </w:tcPr>
          <w:p w14:paraId="1736440E">
            <w:pPr>
              <w:spacing w:before="96" w:beforeLines="40" w:after="96" w:afterLines="40" w:line="24" w:lineRule="atLeast"/>
              <w:rPr>
                <w:rFonts w:hint="eastAsia" w:eastAsia="宋体"/>
                <w:sz w:val="18"/>
                <w:szCs w:val="18"/>
                <w:lang w:val="en-US" w:eastAsia="zh-CN"/>
              </w:rPr>
            </w:pPr>
          </w:p>
        </w:tc>
        <w:tc>
          <w:tcPr>
            <w:tcW w:w="4320" w:type="dxa"/>
            <w:shd w:val="clear" w:color="auto" w:fill="EEEEEE"/>
          </w:tcPr>
          <w:p w14:paraId="2DB5B500">
            <w:pPr>
              <w:spacing w:before="96" w:beforeLines="40" w:after="96" w:afterLines="40" w:line="24" w:lineRule="atLeast"/>
              <w:rPr>
                <w:rFonts w:eastAsia="Cambria"/>
                <w:sz w:val="18"/>
                <w:szCs w:val="18"/>
                <w:lang w:val="en-GB" w:eastAsia="en-US"/>
              </w:rPr>
            </w:pPr>
          </w:p>
        </w:tc>
      </w:tr>
      <w:tr w14:paraId="766D59F8">
        <w:tblPrEx>
          <w:tblCellMar>
            <w:top w:w="0" w:type="dxa"/>
            <w:left w:w="108" w:type="dxa"/>
            <w:bottom w:w="0" w:type="dxa"/>
            <w:right w:w="108" w:type="dxa"/>
          </w:tblCellMar>
        </w:tblPrEx>
        <w:tc>
          <w:tcPr>
            <w:tcW w:w="587" w:type="dxa"/>
            <w:shd w:val="clear" w:color="auto" w:fill="auto"/>
          </w:tcPr>
          <w:p w14:paraId="0663453F">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57560C81">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14:paraId="64652DEC">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Name statistical software and package(s), including version and settings used </w:t>
            </w:r>
          </w:p>
        </w:tc>
        <w:tc>
          <w:tcPr>
            <w:tcW w:w="720" w:type="dxa"/>
          </w:tcPr>
          <w:p w14:paraId="24CF92EA">
            <w:pPr>
              <w:spacing w:before="96" w:beforeLines="40" w:after="96" w:afterLines="40" w:line="24" w:lineRule="atLeast"/>
              <w:rPr>
                <w:rFonts w:hint="eastAsia" w:eastAsia="宋体"/>
                <w:sz w:val="18"/>
                <w:szCs w:val="18"/>
                <w:lang w:val="en-US" w:eastAsia="zh-CN"/>
              </w:rPr>
            </w:pPr>
            <w:r>
              <w:rPr>
                <w:rFonts w:hint="eastAsia" w:eastAsia="宋体"/>
                <w:sz w:val="18"/>
                <w:szCs w:val="18"/>
                <w:lang w:val="en-US" w:eastAsia="zh-CN"/>
              </w:rPr>
              <w:t>2-3</w:t>
            </w:r>
          </w:p>
        </w:tc>
        <w:tc>
          <w:tcPr>
            <w:tcW w:w="4320" w:type="dxa"/>
          </w:tcPr>
          <w:p w14:paraId="7D4469B3">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Bidirectional causality was assessed through reverse MR analysis, with all computations performed using R software (version 4.2.1) utilizing TwoSampleMR and MR-PRESSO packages.</w:t>
            </w:r>
          </w:p>
        </w:tc>
      </w:tr>
      <w:tr w14:paraId="1A4600F6">
        <w:tblPrEx>
          <w:tblCellMar>
            <w:top w:w="0" w:type="dxa"/>
            <w:left w:w="108" w:type="dxa"/>
            <w:bottom w:w="0" w:type="dxa"/>
            <w:right w:w="108" w:type="dxa"/>
          </w:tblCellMar>
        </w:tblPrEx>
        <w:tc>
          <w:tcPr>
            <w:tcW w:w="587" w:type="dxa"/>
            <w:tcBorders>
              <w:bottom w:val="single" w:color="7F7F7F" w:sz="6" w:space="0"/>
            </w:tcBorders>
            <w:shd w:val="clear" w:color="auto" w:fill="EEEEEE"/>
          </w:tcPr>
          <w:p w14:paraId="5FE2488E">
            <w:pPr>
              <w:spacing w:before="96" w:beforeLines="40" w:after="96" w:afterLines="40" w:line="24" w:lineRule="atLeast"/>
              <w:jc w:val="right"/>
              <w:rPr>
                <w:rFonts w:eastAsia="Cambria"/>
                <w:b/>
                <w:bCs/>
                <w:sz w:val="18"/>
                <w:szCs w:val="18"/>
                <w:lang w:val="en-GB" w:eastAsia="en-US"/>
              </w:rPr>
            </w:pPr>
          </w:p>
        </w:tc>
        <w:tc>
          <w:tcPr>
            <w:tcW w:w="1822" w:type="dxa"/>
            <w:tcBorders>
              <w:bottom w:val="single" w:color="7F7F7F" w:sz="6" w:space="0"/>
            </w:tcBorders>
            <w:shd w:val="clear" w:color="auto" w:fill="EEEEEE"/>
          </w:tcPr>
          <w:p w14:paraId="1238FF4C">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tcBorders>
              <w:bottom w:val="single" w:color="7F7F7F" w:sz="6" w:space="0"/>
            </w:tcBorders>
            <w:shd w:val="clear" w:color="auto" w:fill="EEEEEE"/>
          </w:tcPr>
          <w:p w14:paraId="49C833B9">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State whether the study protocol and details were pre-registered (as well as when and where)</w:t>
            </w:r>
          </w:p>
        </w:tc>
        <w:tc>
          <w:tcPr>
            <w:tcW w:w="720" w:type="dxa"/>
            <w:tcBorders>
              <w:bottom w:val="single" w:color="7F7F7F" w:sz="6" w:space="0"/>
            </w:tcBorders>
            <w:shd w:val="clear" w:color="auto" w:fill="EEEEEE"/>
          </w:tcPr>
          <w:p w14:paraId="3B332C7C">
            <w:pPr>
              <w:spacing w:before="96" w:beforeLines="40" w:after="96" w:afterLines="40" w:line="24" w:lineRule="atLeast"/>
              <w:rPr>
                <w:rFonts w:eastAsia="Times New Roman"/>
                <w:sz w:val="18"/>
                <w:szCs w:val="18"/>
                <w:lang w:val="en-GB" w:eastAsia="en-GB"/>
              </w:rPr>
            </w:pPr>
          </w:p>
        </w:tc>
        <w:tc>
          <w:tcPr>
            <w:tcW w:w="4320" w:type="dxa"/>
            <w:tcBorders>
              <w:bottom w:val="single" w:color="7F7F7F" w:sz="6" w:space="0"/>
            </w:tcBorders>
            <w:shd w:val="clear" w:color="auto" w:fill="EEEEEE"/>
          </w:tcPr>
          <w:p w14:paraId="55DF97DF">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NA</w:t>
            </w:r>
          </w:p>
        </w:tc>
      </w:tr>
      <w:tr w14:paraId="30E9757B">
        <w:tblPrEx>
          <w:tblCellMar>
            <w:top w:w="0" w:type="dxa"/>
            <w:left w:w="108" w:type="dxa"/>
            <w:bottom w:w="0" w:type="dxa"/>
            <w:right w:w="108" w:type="dxa"/>
          </w:tblCellMar>
        </w:tblPrEx>
        <w:tc>
          <w:tcPr>
            <w:tcW w:w="587" w:type="dxa"/>
            <w:tcBorders>
              <w:top w:val="single" w:color="7F7F7F" w:sz="6" w:space="0"/>
            </w:tcBorders>
            <w:shd w:val="clear" w:color="auto" w:fill="auto"/>
          </w:tcPr>
          <w:p w14:paraId="4E5606B0">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14:paraId="6E55C4AA">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RESULTS</w:t>
            </w:r>
          </w:p>
        </w:tc>
        <w:tc>
          <w:tcPr>
            <w:tcW w:w="7041" w:type="dxa"/>
            <w:tcBorders>
              <w:top w:val="single" w:color="7F7F7F" w:sz="6" w:space="0"/>
            </w:tcBorders>
            <w:shd w:val="clear" w:color="auto" w:fill="auto"/>
          </w:tcPr>
          <w:p w14:paraId="1A633723">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14:paraId="75C496D0">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14:paraId="64C74348">
            <w:pPr>
              <w:spacing w:before="96" w:beforeLines="40" w:after="96" w:afterLines="40" w:line="24" w:lineRule="atLeast"/>
              <w:rPr>
                <w:rFonts w:eastAsia="Cambria"/>
                <w:sz w:val="18"/>
                <w:szCs w:val="18"/>
                <w:lang w:val="en-GB" w:eastAsia="en-US"/>
              </w:rPr>
            </w:pPr>
          </w:p>
        </w:tc>
      </w:tr>
      <w:tr w14:paraId="17A28D27">
        <w:tblPrEx>
          <w:tblCellMar>
            <w:top w:w="0" w:type="dxa"/>
            <w:left w:w="108" w:type="dxa"/>
            <w:bottom w:w="0" w:type="dxa"/>
            <w:right w:w="108" w:type="dxa"/>
          </w:tblCellMar>
        </w:tblPrEx>
        <w:tc>
          <w:tcPr>
            <w:tcW w:w="587" w:type="dxa"/>
            <w:shd w:val="clear" w:color="auto" w:fill="EEEEEE"/>
          </w:tcPr>
          <w:p w14:paraId="518FCD0F">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10</w:t>
            </w:r>
          </w:p>
        </w:tc>
        <w:tc>
          <w:tcPr>
            <w:tcW w:w="1822" w:type="dxa"/>
            <w:shd w:val="clear" w:color="auto" w:fill="EEEEEE"/>
          </w:tcPr>
          <w:p w14:paraId="4F534803">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Descriptive data</w:t>
            </w:r>
          </w:p>
        </w:tc>
        <w:tc>
          <w:tcPr>
            <w:tcW w:w="7041" w:type="dxa"/>
            <w:shd w:val="clear" w:color="auto" w:fill="EEEEEE"/>
          </w:tcPr>
          <w:p w14:paraId="7763A1C2">
            <w:pPr>
              <w:spacing w:before="96" w:beforeLines="40" w:after="96" w:afterLines="40" w:line="24" w:lineRule="atLeast"/>
              <w:rPr>
                <w:rFonts w:eastAsia="Cambria"/>
                <w:sz w:val="18"/>
                <w:szCs w:val="18"/>
                <w:lang w:val="en-GB" w:eastAsia="en-US"/>
              </w:rPr>
            </w:pPr>
          </w:p>
        </w:tc>
        <w:tc>
          <w:tcPr>
            <w:tcW w:w="720" w:type="dxa"/>
            <w:shd w:val="clear" w:color="auto" w:fill="EEEEEE"/>
          </w:tcPr>
          <w:p w14:paraId="7804C8E0">
            <w:pPr>
              <w:spacing w:before="96" w:beforeLines="40" w:after="96" w:afterLines="40" w:line="24" w:lineRule="atLeast"/>
              <w:rPr>
                <w:rFonts w:hint="default" w:eastAsia="宋体"/>
                <w:sz w:val="18"/>
                <w:szCs w:val="18"/>
                <w:lang w:val="en-US" w:eastAsia="zh-CN"/>
              </w:rPr>
            </w:pPr>
          </w:p>
        </w:tc>
        <w:tc>
          <w:tcPr>
            <w:tcW w:w="4320" w:type="dxa"/>
            <w:shd w:val="clear" w:color="auto" w:fill="EEEEEE"/>
          </w:tcPr>
          <w:p w14:paraId="540F278A">
            <w:pPr>
              <w:spacing w:before="96" w:beforeLines="40" w:after="96" w:afterLines="40" w:line="24" w:lineRule="atLeast"/>
              <w:rPr>
                <w:rFonts w:hint="default" w:eastAsia="宋体"/>
                <w:sz w:val="18"/>
                <w:szCs w:val="18"/>
                <w:lang w:val="en-US" w:eastAsia="zh-CN"/>
              </w:rPr>
            </w:pPr>
          </w:p>
        </w:tc>
      </w:tr>
      <w:tr w14:paraId="5EB9934C">
        <w:tblPrEx>
          <w:tblCellMar>
            <w:top w:w="0" w:type="dxa"/>
            <w:left w:w="108" w:type="dxa"/>
            <w:bottom w:w="0" w:type="dxa"/>
            <w:right w:w="108" w:type="dxa"/>
          </w:tblCellMar>
        </w:tblPrEx>
        <w:tc>
          <w:tcPr>
            <w:tcW w:w="587" w:type="dxa"/>
            <w:shd w:val="clear" w:color="auto" w:fill="auto"/>
          </w:tcPr>
          <w:p w14:paraId="50FB0071">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3AD03BEE">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14:paraId="1CB7B6BF">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the numbers of individuals at each stage of included studies and reasons for exclusion. Consider use of a flow diagram</w:t>
            </w:r>
          </w:p>
        </w:tc>
        <w:tc>
          <w:tcPr>
            <w:tcW w:w="720" w:type="dxa"/>
          </w:tcPr>
          <w:p w14:paraId="173B765A">
            <w:pPr>
              <w:spacing w:before="96" w:beforeLines="40" w:after="96" w:afterLines="40" w:line="24" w:lineRule="atLeast"/>
              <w:rPr>
                <w:rFonts w:hint="eastAsia" w:eastAsia="宋体"/>
                <w:sz w:val="18"/>
                <w:szCs w:val="18"/>
                <w:lang w:val="en-US" w:eastAsia="zh-CN"/>
              </w:rPr>
            </w:pPr>
            <w:r>
              <w:rPr>
                <w:rFonts w:hint="eastAsia" w:eastAsia="宋体"/>
                <w:sz w:val="18"/>
                <w:szCs w:val="18"/>
                <w:lang w:val="en-US" w:eastAsia="zh-CN"/>
              </w:rPr>
              <w:t>3</w:t>
            </w:r>
          </w:p>
        </w:tc>
        <w:tc>
          <w:tcPr>
            <w:tcW w:w="4320" w:type="dxa"/>
          </w:tcPr>
          <w:p w14:paraId="6A51C585">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The comprehensive study design and three core MR assumptions are illustrated in Figure 1.</w:t>
            </w:r>
          </w:p>
        </w:tc>
      </w:tr>
      <w:tr w14:paraId="4B3FAE87">
        <w:tblPrEx>
          <w:tblCellMar>
            <w:top w:w="0" w:type="dxa"/>
            <w:left w:w="108" w:type="dxa"/>
            <w:bottom w:w="0" w:type="dxa"/>
            <w:right w:w="108" w:type="dxa"/>
          </w:tblCellMar>
        </w:tblPrEx>
        <w:tc>
          <w:tcPr>
            <w:tcW w:w="587" w:type="dxa"/>
            <w:shd w:val="clear" w:color="auto" w:fill="EEEEEE"/>
          </w:tcPr>
          <w:p w14:paraId="430BB32C">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14:paraId="28C07569">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14:paraId="330C7640">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Report summary statistics for phenotypic exposure(s), outcome(s), and other relevant variables (e.g. means, SDs, proportions)</w:t>
            </w:r>
          </w:p>
        </w:tc>
        <w:tc>
          <w:tcPr>
            <w:tcW w:w="720" w:type="dxa"/>
            <w:shd w:val="clear" w:color="auto" w:fill="EEEEEE"/>
          </w:tcPr>
          <w:p w14:paraId="35495EDC">
            <w:pPr>
              <w:spacing w:before="96" w:beforeLines="40" w:after="96" w:afterLines="40" w:line="24" w:lineRule="atLeast"/>
              <w:rPr>
                <w:rFonts w:hint="eastAsia" w:eastAsia="宋体"/>
                <w:sz w:val="18"/>
                <w:szCs w:val="18"/>
                <w:lang w:val="en-US" w:eastAsia="zh-CN"/>
              </w:rPr>
            </w:pPr>
            <w:r>
              <w:rPr>
                <w:rFonts w:hint="eastAsia" w:eastAsia="宋体"/>
                <w:sz w:val="18"/>
                <w:szCs w:val="18"/>
                <w:lang w:val="en-US" w:eastAsia="zh-CN"/>
              </w:rPr>
              <w:t>5</w:t>
            </w:r>
          </w:p>
        </w:tc>
        <w:tc>
          <w:tcPr>
            <w:tcW w:w="4320" w:type="dxa"/>
            <w:shd w:val="clear" w:color="auto" w:fill="EEEEEE"/>
          </w:tcPr>
          <w:p w14:paraId="4057AB2B">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Following the systematic selection process, we identified genetic variants as instrumental variables for MI across different analyses. For the forward MR analyses examining MI as exposure, 19 SNPs were selected for both PCa and MRN analyses, while 6 SNPs were used for BCa discovery cohort and 21 SNPs for BCa replication cohort. The variation in SNP numbers reflected the availability of harmonized variants across different outcome datasets.</w:t>
            </w:r>
          </w:p>
        </w:tc>
      </w:tr>
      <w:tr w14:paraId="7654C0F7">
        <w:tblPrEx>
          <w:tblCellMar>
            <w:top w:w="0" w:type="dxa"/>
            <w:left w:w="108" w:type="dxa"/>
            <w:bottom w:w="0" w:type="dxa"/>
            <w:right w:w="108" w:type="dxa"/>
          </w:tblCellMar>
        </w:tblPrEx>
        <w:tc>
          <w:tcPr>
            <w:tcW w:w="587" w:type="dxa"/>
            <w:shd w:val="clear" w:color="auto" w:fill="auto"/>
          </w:tcPr>
          <w:p w14:paraId="5DDBE27B">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20B1B2C8">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auto"/>
          </w:tcPr>
          <w:p w14:paraId="6DBBECFC">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If the data sources include meta-analyses of previous studies, provide the assessments of heterogeneity across these studies</w:t>
            </w:r>
          </w:p>
        </w:tc>
        <w:tc>
          <w:tcPr>
            <w:tcW w:w="720" w:type="dxa"/>
          </w:tcPr>
          <w:p w14:paraId="15847B97">
            <w:pPr>
              <w:spacing w:before="96" w:beforeLines="40" w:after="96" w:afterLines="40" w:line="24" w:lineRule="atLeast"/>
              <w:rPr>
                <w:rFonts w:eastAsia="Times New Roman"/>
                <w:sz w:val="18"/>
                <w:szCs w:val="18"/>
                <w:lang w:val="en-GB" w:eastAsia="en-GB"/>
              </w:rPr>
            </w:pPr>
          </w:p>
        </w:tc>
        <w:tc>
          <w:tcPr>
            <w:tcW w:w="4320" w:type="dxa"/>
          </w:tcPr>
          <w:p w14:paraId="68E6D2BC">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NA</w:t>
            </w:r>
          </w:p>
        </w:tc>
      </w:tr>
      <w:tr w14:paraId="48EBD322">
        <w:tblPrEx>
          <w:tblCellMar>
            <w:top w:w="0" w:type="dxa"/>
            <w:left w:w="108" w:type="dxa"/>
            <w:bottom w:w="0" w:type="dxa"/>
            <w:right w:w="108" w:type="dxa"/>
          </w:tblCellMar>
        </w:tblPrEx>
        <w:tc>
          <w:tcPr>
            <w:tcW w:w="587" w:type="dxa"/>
            <w:shd w:val="clear" w:color="auto" w:fill="EEEEEE"/>
          </w:tcPr>
          <w:p w14:paraId="49DFF1F2">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14:paraId="3A195F93">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EEEEEE"/>
          </w:tcPr>
          <w:p w14:paraId="224F2CAC">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 xml:space="preserve">For </w:t>
            </w:r>
            <w:r>
              <w:rPr>
                <w:rFonts w:eastAsia="Times New Roman"/>
                <w:iCs/>
                <w:sz w:val="18"/>
                <w:szCs w:val="18"/>
                <w:lang w:val="en-GB" w:eastAsia="en-GB"/>
              </w:rPr>
              <w:t>two-sample</w:t>
            </w:r>
            <w:r>
              <w:rPr>
                <w:rFonts w:eastAsia="Times New Roman"/>
                <w:sz w:val="18"/>
                <w:szCs w:val="18"/>
                <w:lang w:val="en-GB" w:eastAsia="en-GB"/>
              </w:rPr>
              <w:t xml:space="preserve"> MR:</w:t>
            </w:r>
          </w:p>
          <w:p w14:paraId="0F580D9A">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 xml:space="preserve">   i.  Provide justification of the similarity of the genetic variant-exposure associations between the exposure and outcome samples</w:t>
            </w:r>
          </w:p>
          <w:p w14:paraId="2C4AA1E8">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 xml:space="preserve">   ii.  Provide information on the number of individuals who overlap between the exposure and outcome studies</w:t>
            </w:r>
          </w:p>
        </w:tc>
        <w:tc>
          <w:tcPr>
            <w:tcW w:w="720" w:type="dxa"/>
            <w:shd w:val="clear" w:color="auto" w:fill="EEEEEE"/>
          </w:tcPr>
          <w:p w14:paraId="7A1EE988">
            <w:pPr>
              <w:spacing w:before="96" w:beforeLines="40" w:after="96" w:afterLines="40" w:line="24" w:lineRule="atLeast"/>
              <w:rPr>
                <w:rFonts w:eastAsia="Times New Roman"/>
                <w:sz w:val="18"/>
                <w:szCs w:val="18"/>
                <w:lang w:val="en-GB" w:eastAsia="en-GB"/>
              </w:rPr>
            </w:pPr>
          </w:p>
        </w:tc>
        <w:tc>
          <w:tcPr>
            <w:tcW w:w="4320" w:type="dxa"/>
            <w:shd w:val="clear" w:color="auto" w:fill="EEEEEE"/>
          </w:tcPr>
          <w:p w14:paraId="6FD89ED8">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NA</w:t>
            </w:r>
          </w:p>
        </w:tc>
      </w:tr>
      <w:tr w14:paraId="59D3AD57">
        <w:tblPrEx>
          <w:tblCellMar>
            <w:top w:w="0" w:type="dxa"/>
            <w:left w:w="108" w:type="dxa"/>
            <w:bottom w:w="0" w:type="dxa"/>
            <w:right w:w="108" w:type="dxa"/>
          </w:tblCellMar>
        </w:tblPrEx>
        <w:tc>
          <w:tcPr>
            <w:tcW w:w="587" w:type="dxa"/>
            <w:shd w:val="clear" w:color="auto" w:fill="auto"/>
          </w:tcPr>
          <w:p w14:paraId="5707D0CA">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11</w:t>
            </w:r>
          </w:p>
        </w:tc>
        <w:tc>
          <w:tcPr>
            <w:tcW w:w="1822" w:type="dxa"/>
            <w:shd w:val="clear" w:color="auto" w:fill="auto"/>
          </w:tcPr>
          <w:p w14:paraId="6DB628A0">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Main results</w:t>
            </w:r>
          </w:p>
        </w:tc>
        <w:tc>
          <w:tcPr>
            <w:tcW w:w="7041" w:type="dxa"/>
            <w:shd w:val="clear" w:color="auto" w:fill="auto"/>
          </w:tcPr>
          <w:p w14:paraId="67F794D8">
            <w:pPr>
              <w:spacing w:before="96" w:beforeLines="40" w:after="96" w:afterLines="40" w:line="24" w:lineRule="atLeast"/>
              <w:rPr>
                <w:rFonts w:eastAsia="Cambria"/>
                <w:sz w:val="18"/>
                <w:szCs w:val="18"/>
                <w:lang w:val="en-GB" w:eastAsia="en-US"/>
              </w:rPr>
            </w:pPr>
          </w:p>
        </w:tc>
        <w:tc>
          <w:tcPr>
            <w:tcW w:w="720" w:type="dxa"/>
          </w:tcPr>
          <w:p w14:paraId="10461E19">
            <w:pPr>
              <w:spacing w:before="96" w:beforeLines="40" w:after="96" w:afterLines="40" w:line="24" w:lineRule="atLeast"/>
              <w:rPr>
                <w:rFonts w:hint="default" w:eastAsia="宋体"/>
                <w:sz w:val="18"/>
                <w:szCs w:val="18"/>
                <w:lang w:val="en-US" w:eastAsia="zh-CN"/>
              </w:rPr>
            </w:pPr>
          </w:p>
        </w:tc>
        <w:tc>
          <w:tcPr>
            <w:tcW w:w="4320" w:type="dxa"/>
          </w:tcPr>
          <w:p w14:paraId="156529E7">
            <w:pPr>
              <w:spacing w:before="96" w:beforeLines="40" w:after="96" w:afterLines="40" w:line="24" w:lineRule="atLeast"/>
              <w:rPr>
                <w:rFonts w:hint="default" w:eastAsia="宋体"/>
                <w:sz w:val="18"/>
                <w:szCs w:val="18"/>
                <w:lang w:val="en-US" w:eastAsia="zh-CN"/>
              </w:rPr>
            </w:pPr>
          </w:p>
        </w:tc>
      </w:tr>
      <w:tr w14:paraId="406E4451">
        <w:tblPrEx>
          <w:tblCellMar>
            <w:top w:w="0" w:type="dxa"/>
            <w:left w:w="108" w:type="dxa"/>
            <w:bottom w:w="0" w:type="dxa"/>
            <w:right w:w="108" w:type="dxa"/>
          </w:tblCellMar>
        </w:tblPrEx>
        <w:tc>
          <w:tcPr>
            <w:tcW w:w="587" w:type="dxa"/>
            <w:shd w:val="clear" w:color="auto" w:fill="EEEEEE"/>
          </w:tcPr>
          <w:p w14:paraId="506E76E9">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14:paraId="7FC4FC4B">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EEEEEE"/>
          </w:tcPr>
          <w:p w14:paraId="61BD0D99">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the associations between genetic variant and exposure, and between genetic variant and outcome, preferably on an interpretable scale</w:t>
            </w:r>
          </w:p>
        </w:tc>
        <w:tc>
          <w:tcPr>
            <w:tcW w:w="720" w:type="dxa"/>
            <w:shd w:val="clear" w:color="auto" w:fill="EEEEEE"/>
          </w:tcPr>
          <w:p w14:paraId="6FA6D01B">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6-7</w:t>
            </w:r>
          </w:p>
        </w:tc>
        <w:tc>
          <w:tcPr>
            <w:tcW w:w="4320" w:type="dxa"/>
            <w:shd w:val="clear" w:color="auto" w:fill="EEEEEE"/>
          </w:tcPr>
          <w:p w14:paraId="4387F3E3">
            <w:pPr>
              <w:spacing w:before="96" w:beforeLines="40" w:after="96" w:afterLines="40" w:line="24" w:lineRule="atLeast"/>
              <w:rPr>
                <w:rFonts w:hint="default" w:eastAsia="宋体"/>
                <w:sz w:val="18"/>
                <w:szCs w:val="18"/>
                <w:lang w:val="en-US" w:eastAsia="zh-CN"/>
              </w:rPr>
            </w:pPr>
            <w:r>
              <w:rPr>
                <w:rFonts w:hint="default" w:eastAsia="宋体"/>
                <w:sz w:val="18"/>
                <w:szCs w:val="18"/>
                <w:lang w:val="en-US" w:eastAsia="zh-CN"/>
              </w:rPr>
              <w:t>MR analysis revealed no significant causal effect of genetically predicted MI on the risk of any examined urinary system cancer. For PCa, the primary IVW analysis showed null associations in both discovery (OR = 1.000, 95% CI: 0.995-1.004, p = 0.885) and replication (OR = 0.964, 95% CI: 0.904-1.027, p = 0.257) cohorts</w:t>
            </w:r>
            <w:r>
              <w:rPr>
                <w:rFonts w:hint="eastAsia" w:eastAsia="宋体"/>
                <w:sz w:val="18"/>
                <w:szCs w:val="18"/>
                <w:lang w:val="en-US" w:eastAsia="zh-CN"/>
              </w:rPr>
              <w:t>..</w:t>
            </w:r>
            <w:r>
              <w:rPr>
                <w:rFonts w:hint="default" w:eastAsia="宋体"/>
                <w:sz w:val="18"/>
                <w:szCs w:val="18"/>
                <w:lang w:val="en-US" w:eastAsia="zh-CN"/>
              </w:rPr>
              <w:t>.</w:t>
            </w:r>
          </w:p>
        </w:tc>
      </w:tr>
      <w:tr w14:paraId="3E9695DA">
        <w:tblPrEx>
          <w:tblCellMar>
            <w:top w:w="0" w:type="dxa"/>
            <w:left w:w="108" w:type="dxa"/>
            <w:bottom w:w="0" w:type="dxa"/>
            <w:right w:w="108" w:type="dxa"/>
          </w:tblCellMar>
        </w:tblPrEx>
        <w:tc>
          <w:tcPr>
            <w:tcW w:w="587" w:type="dxa"/>
            <w:shd w:val="clear" w:color="auto" w:fill="auto"/>
          </w:tcPr>
          <w:p w14:paraId="68CE9344">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50DE0212">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auto"/>
          </w:tcPr>
          <w:p w14:paraId="408B2435">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MR estimates of the relationship between exposure and outcome, and the measures of uncertainty from the MR analysis, on an interpretable scale, such as odds ratio or relative risk per SD difference</w:t>
            </w:r>
          </w:p>
        </w:tc>
        <w:tc>
          <w:tcPr>
            <w:tcW w:w="720" w:type="dxa"/>
          </w:tcPr>
          <w:p w14:paraId="751AB28C">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6-7</w:t>
            </w:r>
          </w:p>
        </w:tc>
        <w:tc>
          <w:tcPr>
            <w:tcW w:w="4320" w:type="dxa"/>
          </w:tcPr>
          <w:p w14:paraId="2715A979">
            <w:pPr>
              <w:spacing w:before="96" w:beforeLines="40" w:after="96" w:afterLines="40" w:line="24" w:lineRule="atLeast"/>
              <w:rPr>
                <w:rFonts w:hint="default" w:eastAsia="Times New Roman"/>
                <w:sz w:val="18"/>
                <w:szCs w:val="18"/>
                <w:lang w:val="en-GB" w:eastAsia="en-GB"/>
              </w:rPr>
            </w:pPr>
            <w:r>
              <w:rPr>
                <w:rFonts w:hint="default" w:eastAsia="Times New Roman"/>
                <w:sz w:val="18"/>
                <w:szCs w:val="18"/>
                <w:lang w:val="en-GB" w:eastAsia="en-GB"/>
              </w:rPr>
              <w:t>Consistent conclusions were obtained through additional statistical methods, with MR-Egger yielding ORs of 1.000 (95% CI: 0.989-1.010, p = 0.963) and 0.998 (95% CI: 0.860-1.158, p = 0.980) for discovery and replication analyses, respectively. Similarly, weighted median and weighted mode approaches produced comparable results, with all confidence intervals encompassing the null value and p-values exceeding 0.05.</w:t>
            </w:r>
          </w:p>
          <w:p w14:paraId="142D97F7">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BCa analysis demonstrated remarkably consistent null findings across all methodological approaches. In the discovery cohort, IVW analysis yielded an OR of 1.000 (95% CI: 0.999-1.001, p = 0.795), with MR-Egger (OR = 1.000, 95% CI: 0.998-1.002, p = 0.787), weighted median</w:t>
            </w:r>
            <w:r>
              <w:rPr>
                <w:rFonts w:hint="eastAsia" w:eastAsia="宋体"/>
                <w:sz w:val="18"/>
                <w:szCs w:val="18"/>
                <w:lang w:val="en-US" w:eastAsia="zh-CN"/>
              </w:rPr>
              <w:t>...</w:t>
            </w:r>
            <w:r>
              <w:rPr>
                <w:rFonts w:hint="default" w:eastAsia="Times New Roman"/>
                <w:sz w:val="18"/>
                <w:szCs w:val="18"/>
                <w:lang w:val="en-GB" w:eastAsia="en-GB"/>
              </w:rPr>
              <w:t xml:space="preserve">. </w:t>
            </w:r>
          </w:p>
        </w:tc>
      </w:tr>
      <w:tr w14:paraId="43E2E2CA">
        <w:tblPrEx>
          <w:tblCellMar>
            <w:top w:w="0" w:type="dxa"/>
            <w:left w:w="108" w:type="dxa"/>
            <w:bottom w:w="0" w:type="dxa"/>
            <w:right w:w="108" w:type="dxa"/>
          </w:tblCellMar>
        </w:tblPrEx>
        <w:tc>
          <w:tcPr>
            <w:tcW w:w="587" w:type="dxa"/>
            <w:shd w:val="clear" w:color="auto" w:fill="EEEEEE"/>
          </w:tcPr>
          <w:p w14:paraId="6A050C77">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14:paraId="28110661">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EEEEEE"/>
          </w:tcPr>
          <w:p w14:paraId="5C5BE638">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If relevant, consider translating estimates of relative risk into absolute risk for a meaningful time period</w:t>
            </w:r>
          </w:p>
        </w:tc>
        <w:tc>
          <w:tcPr>
            <w:tcW w:w="720" w:type="dxa"/>
            <w:shd w:val="clear" w:color="auto" w:fill="EEEEEE"/>
          </w:tcPr>
          <w:p w14:paraId="39C909AE">
            <w:pPr>
              <w:spacing w:before="96" w:beforeLines="40" w:after="96" w:afterLines="40" w:line="24" w:lineRule="atLeast"/>
              <w:rPr>
                <w:rFonts w:eastAsia="Times New Roman"/>
                <w:sz w:val="18"/>
                <w:szCs w:val="18"/>
                <w:lang w:val="en-GB" w:eastAsia="en-GB"/>
              </w:rPr>
            </w:pPr>
          </w:p>
        </w:tc>
        <w:tc>
          <w:tcPr>
            <w:tcW w:w="4320" w:type="dxa"/>
            <w:shd w:val="clear" w:color="auto" w:fill="EEEEEE"/>
          </w:tcPr>
          <w:p w14:paraId="3C87D04A">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NA</w:t>
            </w:r>
          </w:p>
        </w:tc>
      </w:tr>
      <w:tr w14:paraId="57F0EC66">
        <w:tblPrEx>
          <w:tblCellMar>
            <w:top w:w="0" w:type="dxa"/>
            <w:left w:w="108" w:type="dxa"/>
            <w:bottom w:w="0" w:type="dxa"/>
            <w:right w:w="108" w:type="dxa"/>
          </w:tblCellMar>
        </w:tblPrEx>
        <w:tc>
          <w:tcPr>
            <w:tcW w:w="587" w:type="dxa"/>
            <w:shd w:val="clear" w:color="auto" w:fill="auto"/>
          </w:tcPr>
          <w:p w14:paraId="6C34DD84">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25F1BD78">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auto"/>
          </w:tcPr>
          <w:p w14:paraId="31321653">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Consider plots to visualize results (e.g. forest plot, scatterplot of associations between genetic variants and outcome versus between genetic variants and exposure)</w:t>
            </w:r>
          </w:p>
        </w:tc>
        <w:tc>
          <w:tcPr>
            <w:tcW w:w="720" w:type="dxa"/>
          </w:tcPr>
          <w:p w14:paraId="3EF56D0F">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6-7</w:t>
            </w:r>
          </w:p>
        </w:tc>
        <w:tc>
          <w:tcPr>
            <w:tcW w:w="4320" w:type="dxa"/>
          </w:tcPr>
          <w:p w14:paraId="0D1267B8">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The comprehensive forest plot summarizing these null associations for forward MR analyses is presented in Figure 2.</w:t>
            </w:r>
          </w:p>
        </w:tc>
      </w:tr>
      <w:tr w14:paraId="7A6FA4CA">
        <w:tblPrEx>
          <w:tblCellMar>
            <w:top w:w="0" w:type="dxa"/>
            <w:left w:w="108" w:type="dxa"/>
            <w:bottom w:w="0" w:type="dxa"/>
            <w:right w:w="108" w:type="dxa"/>
          </w:tblCellMar>
        </w:tblPrEx>
        <w:tc>
          <w:tcPr>
            <w:tcW w:w="587" w:type="dxa"/>
            <w:shd w:val="clear" w:color="auto" w:fill="EEEEEE"/>
          </w:tcPr>
          <w:p w14:paraId="31EF2C60">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12</w:t>
            </w:r>
          </w:p>
        </w:tc>
        <w:tc>
          <w:tcPr>
            <w:tcW w:w="1822" w:type="dxa"/>
            <w:shd w:val="clear" w:color="auto" w:fill="EEEEEE"/>
          </w:tcPr>
          <w:p w14:paraId="3B755915">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Assessment of assumptions</w:t>
            </w:r>
          </w:p>
        </w:tc>
        <w:tc>
          <w:tcPr>
            <w:tcW w:w="7041" w:type="dxa"/>
            <w:shd w:val="clear" w:color="auto" w:fill="EEEEEE"/>
          </w:tcPr>
          <w:p w14:paraId="03D6266D">
            <w:pPr>
              <w:spacing w:before="96" w:beforeLines="40" w:after="96" w:afterLines="40" w:line="24" w:lineRule="atLeast"/>
              <w:rPr>
                <w:rFonts w:eastAsia="Cambria"/>
                <w:sz w:val="18"/>
                <w:szCs w:val="18"/>
                <w:lang w:val="en-GB" w:eastAsia="en-US"/>
              </w:rPr>
            </w:pPr>
          </w:p>
        </w:tc>
        <w:tc>
          <w:tcPr>
            <w:tcW w:w="720" w:type="dxa"/>
            <w:shd w:val="clear" w:color="auto" w:fill="EEEEEE"/>
          </w:tcPr>
          <w:p w14:paraId="45124B58">
            <w:pPr>
              <w:spacing w:before="96" w:beforeLines="40" w:after="96" w:afterLines="40" w:line="24" w:lineRule="atLeast"/>
              <w:rPr>
                <w:rFonts w:hint="default" w:eastAsia="宋体"/>
                <w:sz w:val="18"/>
                <w:szCs w:val="18"/>
                <w:lang w:val="en-US" w:eastAsia="zh-CN"/>
              </w:rPr>
            </w:pPr>
          </w:p>
        </w:tc>
        <w:tc>
          <w:tcPr>
            <w:tcW w:w="4320" w:type="dxa"/>
            <w:shd w:val="clear" w:color="auto" w:fill="EEEEEE"/>
          </w:tcPr>
          <w:p w14:paraId="4A6429D3">
            <w:pPr>
              <w:spacing w:before="96" w:beforeLines="40" w:after="96" w:afterLines="40" w:line="24" w:lineRule="atLeast"/>
              <w:rPr>
                <w:rFonts w:eastAsia="Cambria"/>
                <w:sz w:val="18"/>
                <w:szCs w:val="18"/>
                <w:lang w:val="en-GB" w:eastAsia="en-US"/>
              </w:rPr>
            </w:pPr>
          </w:p>
        </w:tc>
      </w:tr>
      <w:tr w14:paraId="64D3EE97">
        <w:tblPrEx>
          <w:tblCellMar>
            <w:top w:w="0" w:type="dxa"/>
            <w:left w:w="108" w:type="dxa"/>
            <w:bottom w:w="0" w:type="dxa"/>
            <w:right w:w="108" w:type="dxa"/>
          </w:tblCellMar>
        </w:tblPrEx>
        <w:tc>
          <w:tcPr>
            <w:tcW w:w="587" w:type="dxa"/>
            <w:shd w:val="clear" w:color="auto" w:fill="auto"/>
          </w:tcPr>
          <w:p w14:paraId="28B9BA87">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79E47D67">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14:paraId="7BC269D9">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the assessment of the validity of the assumptions</w:t>
            </w:r>
          </w:p>
        </w:tc>
        <w:tc>
          <w:tcPr>
            <w:tcW w:w="720" w:type="dxa"/>
          </w:tcPr>
          <w:p w14:paraId="7EC86B9F">
            <w:pPr>
              <w:spacing w:before="96" w:beforeLines="40" w:after="96" w:afterLines="40" w:line="24" w:lineRule="atLeast"/>
              <w:rPr>
                <w:rFonts w:hint="eastAsia" w:eastAsia="宋体"/>
                <w:sz w:val="18"/>
                <w:szCs w:val="18"/>
                <w:lang w:val="en-US" w:eastAsia="zh-CN"/>
              </w:rPr>
            </w:pPr>
            <w:r>
              <w:rPr>
                <w:rFonts w:hint="eastAsia" w:eastAsia="宋体"/>
                <w:sz w:val="18"/>
                <w:szCs w:val="18"/>
                <w:lang w:val="en-US" w:eastAsia="zh-CN"/>
              </w:rPr>
              <w:t>7</w:t>
            </w:r>
          </w:p>
        </w:tc>
        <w:tc>
          <w:tcPr>
            <w:tcW w:w="4320" w:type="dxa"/>
          </w:tcPr>
          <w:p w14:paraId="6E09C3D3">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Comprehensive sensitivity analyses confirmed the robustness of our findings and absence of methodological violations. MR-Egger intercept analyses revealed no evidence of directional pleiotropy across most comparisons, with intercept values close to zero and non-significant p-values (Supplementary Table 5).</w:t>
            </w:r>
          </w:p>
        </w:tc>
      </w:tr>
      <w:tr w14:paraId="5FF6A225">
        <w:tblPrEx>
          <w:tblCellMar>
            <w:top w:w="0" w:type="dxa"/>
            <w:left w:w="108" w:type="dxa"/>
            <w:bottom w:w="0" w:type="dxa"/>
            <w:right w:w="108" w:type="dxa"/>
          </w:tblCellMar>
        </w:tblPrEx>
        <w:tc>
          <w:tcPr>
            <w:tcW w:w="587" w:type="dxa"/>
            <w:shd w:val="clear" w:color="auto" w:fill="EEEEEE"/>
          </w:tcPr>
          <w:p w14:paraId="3BAF53A7">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14:paraId="262AE7E1">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14:paraId="2673E59F">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 xml:space="preserve">Report any additional statistics (e.g., assessments of heterogeneity </w:t>
            </w:r>
            <w:r>
              <w:rPr>
                <w:rFonts w:eastAsia="Times New Roman"/>
                <w:sz w:val="18"/>
                <w:szCs w:val="18"/>
                <w:lang w:eastAsia="en-GB"/>
              </w:rPr>
              <w:t>across genetic variants</w:t>
            </w:r>
            <w:r>
              <w:rPr>
                <w:rFonts w:eastAsia="Times New Roman"/>
                <w:sz w:val="18"/>
                <w:szCs w:val="18"/>
                <w:lang w:val="en-GB" w:eastAsia="en-GB"/>
              </w:rPr>
              <w:t xml:space="preserve">, such as </w:t>
            </w:r>
            <w:r>
              <w:rPr>
                <w:rFonts w:eastAsia="Times New Roman"/>
                <w:i/>
                <w:sz w:val="18"/>
                <w:szCs w:val="18"/>
                <w:lang w:val="en-GB" w:eastAsia="en-GB"/>
              </w:rPr>
              <w:t>I</w:t>
            </w:r>
            <w:r>
              <w:rPr>
                <w:rFonts w:eastAsia="Times New Roman"/>
                <w:i/>
                <w:sz w:val="18"/>
                <w:szCs w:val="18"/>
                <w:vertAlign w:val="superscript"/>
                <w:lang w:val="en-GB" w:eastAsia="en-GB"/>
              </w:rPr>
              <w:t>2</w:t>
            </w:r>
            <w:r>
              <w:rPr>
                <w:rFonts w:eastAsia="Times New Roman"/>
                <w:sz w:val="18"/>
                <w:szCs w:val="18"/>
                <w:lang w:val="en-GB" w:eastAsia="en-GB"/>
              </w:rPr>
              <w:t>, Q statistic or E-value)</w:t>
            </w:r>
          </w:p>
        </w:tc>
        <w:tc>
          <w:tcPr>
            <w:tcW w:w="720" w:type="dxa"/>
            <w:shd w:val="clear" w:color="auto" w:fill="EEEEEE"/>
          </w:tcPr>
          <w:p w14:paraId="2811CBF7">
            <w:pPr>
              <w:spacing w:before="96" w:beforeLines="40" w:after="96" w:afterLines="40" w:line="24" w:lineRule="atLeast"/>
              <w:rPr>
                <w:rFonts w:hint="eastAsia" w:eastAsia="宋体"/>
                <w:sz w:val="18"/>
                <w:szCs w:val="18"/>
                <w:lang w:val="en-US" w:eastAsia="zh-CN"/>
              </w:rPr>
            </w:pPr>
            <w:r>
              <w:rPr>
                <w:rFonts w:hint="eastAsia" w:eastAsia="宋体"/>
                <w:sz w:val="18"/>
                <w:szCs w:val="18"/>
                <w:lang w:val="en-US" w:eastAsia="zh-CN"/>
              </w:rPr>
              <w:t>7</w:t>
            </w:r>
          </w:p>
        </w:tc>
        <w:tc>
          <w:tcPr>
            <w:tcW w:w="4320" w:type="dxa"/>
            <w:shd w:val="clear" w:color="auto" w:fill="EEEEEE"/>
          </w:tcPr>
          <w:p w14:paraId="1550C945">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Heterogeneity assessment using Cochran's Q statistic demonstrated acceptable levels of between-SNP heterogeneity for most analyses (Supplementary Table 6)</w:t>
            </w:r>
          </w:p>
        </w:tc>
      </w:tr>
      <w:tr w14:paraId="6735387D">
        <w:tblPrEx>
          <w:tblCellMar>
            <w:top w:w="0" w:type="dxa"/>
            <w:left w:w="108" w:type="dxa"/>
            <w:bottom w:w="0" w:type="dxa"/>
            <w:right w:w="108" w:type="dxa"/>
          </w:tblCellMar>
        </w:tblPrEx>
        <w:tc>
          <w:tcPr>
            <w:tcW w:w="587" w:type="dxa"/>
            <w:shd w:val="clear" w:color="auto" w:fill="auto"/>
          </w:tcPr>
          <w:p w14:paraId="3ACC34C2">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13</w:t>
            </w:r>
          </w:p>
        </w:tc>
        <w:tc>
          <w:tcPr>
            <w:tcW w:w="1822" w:type="dxa"/>
            <w:shd w:val="clear" w:color="auto" w:fill="auto"/>
          </w:tcPr>
          <w:p w14:paraId="2BD9157C">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Sensitivity analyses and additional analyses</w:t>
            </w:r>
          </w:p>
        </w:tc>
        <w:tc>
          <w:tcPr>
            <w:tcW w:w="7041" w:type="dxa"/>
            <w:shd w:val="clear" w:color="auto" w:fill="auto"/>
          </w:tcPr>
          <w:p w14:paraId="0D4DCF83">
            <w:pPr>
              <w:spacing w:before="96" w:beforeLines="40" w:after="96" w:afterLines="40" w:line="24" w:lineRule="atLeast"/>
              <w:rPr>
                <w:rFonts w:eastAsia="Cambria"/>
                <w:sz w:val="18"/>
                <w:szCs w:val="18"/>
                <w:lang w:val="en-GB" w:eastAsia="en-US"/>
              </w:rPr>
            </w:pPr>
          </w:p>
        </w:tc>
        <w:tc>
          <w:tcPr>
            <w:tcW w:w="720" w:type="dxa"/>
          </w:tcPr>
          <w:p w14:paraId="7AA86CEA">
            <w:pPr>
              <w:spacing w:before="96" w:beforeLines="40" w:after="96" w:afterLines="40" w:line="24" w:lineRule="atLeast"/>
              <w:rPr>
                <w:rFonts w:hint="default" w:eastAsia="宋体"/>
                <w:sz w:val="18"/>
                <w:szCs w:val="18"/>
                <w:lang w:val="en-US" w:eastAsia="zh-CN"/>
              </w:rPr>
            </w:pPr>
          </w:p>
        </w:tc>
        <w:tc>
          <w:tcPr>
            <w:tcW w:w="4320" w:type="dxa"/>
          </w:tcPr>
          <w:p w14:paraId="2A3AF0D5">
            <w:pPr>
              <w:spacing w:before="96" w:beforeLines="40" w:after="96" w:afterLines="40" w:line="24" w:lineRule="atLeast"/>
              <w:rPr>
                <w:rFonts w:eastAsia="Cambria"/>
                <w:sz w:val="18"/>
                <w:szCs w:val="18"/>
                <w:lang w:val="en-GB" w:eastAsia="en-US"/>
              </w:rPr>
            </w:pPr>
          </w:p>
        </w:tc>
      </w:tr>
      <w:tr w14:paraId="6743180C">
        <w:tblPrEx>
          <w:tblCellMar>
            <w:top w:w="0" w:type="dxa"/>
            <w:left w:w="108" w:type="dxa"/>
            <w:bottom w:w="0" w:type="dxa"/>
            <w:right w:w="108" w:type="dxa"/>
          </w:tblCellMar>
        </w:tblPrEx>
        <w:tc>
          <w:tcPr>
            <w:tcW w:w="587" w:type="dxa"/>
            <w:shd w:val="clear" w:color="auto" w:fill="EEEEEE"/>
          </w:tcPr>
          <w:p w14:paraId="170D3348">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14:paraId="57CEB090">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EEEEEE"/>
          </w:tcPr>
          <w:p w14:paraId="34911BBB">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any sensitivity analyses to assess the robustness of the main results to violations of the assumptions</w:t>
            </w:r>
          </w:p>
        </w:tc>
        <w:tc>
          <w:tcPr>
            <w:tcW w:w="720" w:type="dxa"/>
            <w:shd w:val="clear" w:color="auto" w:fill="EEEEEE"/>
          </w:tcPr>
          <w:p w14:paraId="4668FEC4">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7</w:t>
            </w:r>
          </w:p>
        </w:tc>
        <w:tc>
          <w:tcPr>
            <w:tcW w:w="4320" w:type="dxa"/>
            <w:shd w:val="clear" w:color="auto" w:fill="EEEEEE"/>
          </w:tcPr>
          <w:p w14:paraId="34DD5C58">
            <w:pPr>
              <w:spacing w:before="96" w:beforeLines="40" w:after="96" w:afterLines="40" w:line="24" w:lineRule="atLeast"/>
              <w:rPr>
                <w:rFonts w:hint="default" w:eastAsia="宋体"/>
                <w:sz w:val="18"/>
                <w:szCs w:val="18"/>
                <w:lang w:val="en-US" w:eastAsia="zh-CN"/>
              </w:rPr>
            </w:pPr>
            <w:r>
              <w:rPr>
                <w:rFonts w:hint="default" w:eastAsia="Times New Roman"/>
                <w:sz w:val="18"/>
                <w:szCs w:val="18"/>
                <w:lang w:val="en-GB" w:eastAsia="en-GB"/>
              </w:rPr>
              <w:t>sensitivity analyses confirmed the robustness of our findings and absence of methodological violations</w:t>
            </w:r>
            <w:r>
              <w:rPr>
                <w:rFonts w:hint="eastAsia" w:eastAsia="宋体"/>
                <w:sz w:val="18"/>
                <w:szCs w:val="18"/>
                <w:lang w:val="en-US" w:eastAsia="zh-CN"/>
              </w:rPr>
              <w:t>....</w:t>
            </w:r>
          </w:p>
        </w:tc>
      </w:tr>
      <w:tr w14:paraId="6DCB7492">
        <w:tblPrEx>
          <w:tblCellMar>
            <w:top w:w="0" w:type="dxa"/>
            <w:left w:w="108" w:type="dxa"/>
            <w:bottom w:w="0" w:type="dxa"/>
            <w:right w:w="108" w:type="dxa"/>
          </w:tblCellMar>
        </w:tblPrEx>
        <w:tc>
          <w:tcPr>
            <w:tcW w:w="587" w:type="dxa"/>
            <w:shd w:val="clear" w:color="auto" w:fill="auto"/>
          </w:tcPr>
          <w:p w14:paraId="2973F338">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12885F6E">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auto"/>
          </w:tcPr>
          <w:p w14:paraId="639CEF8B">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results from other sensitivity analyses or additional analyses</w:t>
            </w:r>
          </w:p>
        </w:tc>
        <w:tc>
          <w:tcPr>
            <w:tcW w:w="720" w:type="dxa"/>
          </w:tcPr>
          <w:p w14:paraId="15132D91">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7</w:t>
            </w:r>
          </w:p>
        </w:tc>
        <w:tc>
          <w:tcPr>
            <w:tcW w:w="4320" w:type="dxa"/>
          </w:tcPr>
          <w:p w14:paraId="562FF4CF">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the use of random-effects IVW models in these instances ensured appropriate handling of heterogeneity without compromising causal estimates..</w:t>
            </w:r>
          </w:p>
        </w:tc>
      </w:tr>
      <w:tr w14:paraId="5B64604E">
        <w:tblPrEx>
          <w:tblCellMar>
            <w:top w:w="0" w:type="dxa"/>
            <w:left w:w="108" w:type="dxa"/>
            <w:bottom w:w="0" w:type="dxa"/>
            <w:right w:w="108" w:type="dxa"/>
          </w:tblCellMar>
        </w:tblPrEx>
        <w:tc>
          <w:tcPr>
            <w:tcW w:w="587" w:type="dxa"/>
            <w:shd w:val="clear" w:color="auto" w:fill="EEEEEE"/>
          </w:tcPr>
          <w:p w14:paraId="1A9912A3">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14:paraId="66AE73FB">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EEEEEE"/>
          </w:tcPr>
          <w:p w14:paraId="4DE5DC39">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Report any assessment of direction of causal relationship (e.g., bidirectional MR)</w:t>
            </w:r>
          </w:p>
        </w:tc>
        <w:tc>
          <w:tcPr>
            <w:tcW w:w="720" w:type="dxa"/>
            <w:shd w:val="clear" w:color="auto" w:fill="EEEEEE"/>
          </w:tcPr>
          <w:p w14:paraId="1FE5F88F">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7</w:t>
            </w:r>
          </w:p>
        </w:tc>
        <w:tc>
          <w:tcPr>
            <w:tcW w:w="4320" w:type="dxa"/>
            <w:shd w:val="clear" w:color="auto" w:fill="EEEEEE"/>
          </w:tcPr>
          <w:p w14:paraId="024309B7">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Steiger testing confirmed correct causal directionality for all analyses, with genetic instruments demonstrating stronger associations with their respective exposure variables compared to outcome variables (all Steiger test p-values &lt; 0.001 and direction = TRUE; Supplementary Table 7)</w:t>
            </w:r>
          </w:p>
        </w:tc>
      </w:tr>
      <w:tr w14:paraId="2270D8DC">
        <w:tblPrEx>
          <w:tblCellMar>
            <w:top w:w="0" w:type="dxa"/>
            <w:left w:w="108" w:type="dxa"/>
            <w:bottom w:w="0" w:type="dxa"/>
            <w:right w:w="108" w:type="dxa"/>
          </w:tblCellMar>
        </w:tblPrEx>
        <w:tc>
          <w:tcPr>
            <w:tcW w:w="587" w:type="dxa"/>
            <w:shd w:val="clear" w:color="auto" w:fill="auto"/>
          </w:tcPr>
          <w:p w14:paraId="7A379EA3">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3673A3BA">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auto"/>
          </w:tcPr>
          <w:p w14:paraId="3086733E">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When relevant, report and compare with estimates from non-MR analyses</w:t>
            </w:r>
          </w:p>
        </w:tc>
        <w:tc>
          <w:tcPr>
            <w:tcW w:w="720" w:type="dxa"/>
          </w:tcPr>
          <w:p w14:paraId="57766DD6">
            <w:pPr>
              <w:spacing w:before="96" w:beforeLines="40" w:after="96" w:afterLines="40" w:line="24" w:lineRule="atLeast"/>
              <w:rPr>
                <w:rFonts w:hint="eastAsia" w:eastAsia="宋体"/>
                <w:sz w:val="18"/>
                <w:szCs w:val="18"/>
                <w:lang w:val="en-US" w:eastAsia="zh-CN"/>
              </w:rPr>
            </w:pPr>
          </w:p>
        </w:tc>
        <w:tc>
          <w:tcPr>
            <w:tcW w:w="4320" w:type="dxa"/>
          </w:tcPr>
          <w:p w14:paraId="77FF7AFD">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NA</w:t>
            </w:r>
          </w:p>
        </w:tc>
      </w:tr>
      <w:tr w14:paraId="74D295AE">
        <w:tblPrEx>
          <w:tblCellMar>
            <w:top w:w="0" w:type="dxa"/>
            <w:left w:w="108" w:type="dxa"/>
            <w:bottom w:w="0" w:type="dxa"/>
            <w:right w:w="108" w:type="dxa"/>
          </w:tblCellMar>
        </w:tblPrEx>
        <w:tc>
          <w:tcPr>
            <w:tcW w:w="587" w:type="dxa"/>
            <w:tcBorders>
              <w:bottom w:val="single" w:color="7F7F7F" w:sz="6" w:space="0"/>
            </w:tcBorders>
            <w:shd w:val="clear" w:color="auto" w:fill="EEEEEE"/>
          </w:tcPr>
          <w:p w14:paraId="3E68E1FC">
            <w:pPr>
              <w:spacing w:before="96" w:beforeLines="40" w:after="96" w:afterLines="40" w:line="24" w:lineRule="atLeast"/>
              <w:jc w:val="right"/>
              <w:rPr>
                <w:rFonts w:eastAsia="Cambria"/>
                <w:b/>
                <w:bCs/>
                <w:sz w:val="18"/>
                <w:szCs w:val="18"/>
                <w:lang w:val="en-GB" w:eastAsia="en-US"/>
              </w:rPr>
            </w:pPr>
          </w:p>
        </w:tc>
        <w:tc>
          <w:tcPr>
            <w:tcW w:w="1822" w:type="dxa"/>
            <w:tcBorders>
              <w:bottom w:val="single" w:color="7F7F7F" w:sz="6" w:space="0"/>
            </w:tcBorders>
            <w:shd w:val="clear" w:color="auto" w:fill="EEEEEE"/>
          </w:tcPr>
          <w:p w14:paraId="1565BF8D">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e)</w:t>
            </w:r>
          </w:p>
        </w:tc>
        <w:tc>
          <w:tcPr>
            <w:tcW w:w="7041" w:type="dxa"/>
            <w:tcBorders>
              <w:bottom w:val="single" w:color="7F7F7F" w:sz="6" w:space="0"/>
            </w:tcBorders>
            <w:shd w:val="clear" w:color="auto" w:fill="EEEEEE"/>
          </w:tcPr>
          <w:p w14:paraId="40DDD905">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Consider additional plots to visualize results (e.g., leave-one-out analyses)</w:t>
            </w:r>
          </w:p>
        </w:tc>
        <w:tc>
          <w:tcPr>
            <w:tcW w:w="720" w:type="dxa"/>
            <w:tcBorders>
              <w:bottom w:val="single" w:color="7F7F7F" w:sz="6" w:space="0"/>
            </w:tcBorders>
            <w:shd w:val="clear" w:color="auto" w:fill="EEEEEE"/>
          </w:tcPr>
          <w:p w14:paraId="64A663F0">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7</w:t>
            </w:r>
          </w:p>
        </w:tc>
        <w:tc>
          <w:tcPr>
            <w:tcW w:w="4320" w:type="dxa"/>
            <w:tcBorders>
              <w:bottom w:val="single" w:color="7F7F7F" w:sz="6" w:space="0"/>
            </w:tcBorders>
            <w:shd w:val="clear" w:color="auto" w:fill="EEEEEE"/>
          </w:tcPr>
          <w:p w14:paraId="1A539702">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LOO sensitivity analysis showed that no single SNP substantially influenced the overall causal estimates, confirming the stability of our findings across all exposure-outcome pairs</w:t>
            </w:r>
          </w:p>
        </w:tc>
      </w:tr>
      <w:tr w14:paraId="061E00E3">
        <w:tblPrEx>
          <w:tblCellMar>
            <w:top w:w="0" w:type="dxa"/>
            <w:left w:w="108" w:type="dxa"/>
            <w:bottom w:w="0" w:type="dxa"/>
            <w:right w:w="108" w:type="dxa"/>
          </w:tblCellMar>
        </w:tblPrEx>
        <w:tc>
          <w:tcPr>
            <w:tcW w:w="587" w:type="dxa"/>
            <w:tcBorders>
              <w:top w:val="single" w:color="7F7F7F" w:sz="6" w:space="0"/>
            </w:tcBorders>
            <w:shd w:val="clear" w:color="auto" w:fill="auto"/>
          </w:tcPr>
          <w:p w14:paraId="4FB6DB9D">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14:paraId="351A810A">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DISCUSSION</w:t>
            </w:r>
          </w:p>
        </w:tc>
        <w:tc>
          <w:tcPr>
            <w:tcW w:w="7041" w:type="dxa"/>
            <w:tcBorders>
              <w:top w:val="single" w:color="7F7F7F" w:sz="6" w:space="0"/>
            </w:tcBorders>
            <w:shd w:val="clear" w:color="auto" w:fill="auto"/>
          </w:tcPr>
          <w:p w14:paraId="5A4E0B1C">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14:paraId="5A96423E">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7-9</w:t>
            </w:r>
          </w:p>
        </w:tc>
        <w:tc>
          <w:tcPr>
            <w:tcW w:w="4320" w:type="dxa"/>
            <w:tcBorders>
              <w:top w:val="single" w:color="7F7F7F" w:sz="6" w:space="0"/>
            </w:tcBorders>
          </w:tcPr>
          <w:p w14:paraId="06711F39">
            <w:pPr>
              <w:spacing w:before="96" w:beforeLines="40" w:after="96" w:afterLines="40" w:line="24" w:lineRule="atLeast"/>
              <w:rPr>
                <w:rFonts w:hint="default" w:eastAsia="宋体"/>
                <w:sz w:val="18"/>
                <w:szCs w:val="18"/>
                <w:lang w:val="en-US" w:eastAsia="zh-CN"/>
              </w:rPr>
            </w:pPr>
            <w:r>
              <w:rPr>
                <w:rFonts w:hint="default" w:eastAsia="宋体"/>
                <w:sz w:val="18"/>
                <w:szCs w:val="18"/>
                <w:lang w:val="en-US" w:eastAsia="zh-CN"/>
              </w:rPr>
              <w:t xml:space="preserve">This comprehensive bidirectional MR analysis provides robust evidence against causal relationships between MI and three major urinary system cancers—PCa, BCa, and MRN. Our findings consistently demonstrate null associations across multiple analytical approaches, discovery and replication cohorts, and both forward and reverse causal directions. </w:t>
            </w:r>
            <w:r>
              <w:rPr>
                <w:rFonts w:hint="eastAsia" w:eastAsia="宋体"/>
                <w:sz w:val="18"/>
                <w:szCs w:val="18"/>
                <w:lang w:val="en-US" w:eastAsia="zh-CN"/>
              </w:rPr>
              <w:t>...</w:t>
            </w:r>
          </w:p>
        </w:tc>
      </w:tr>
      <w:tr w14:paraId="6EB3D259">
        <w:tblPrEx>
          <w:tblCellMar>
            <w:top w:w="0" w:type="dxa"/>
            <w:left w:w="108" w:type="dxa"/>
            <w:bottom w:w="0" w:type="dxa"/>
            <w:right w:w="108" w:type="dxa"/>
          </w:tblCellMar>
        </w:tblPrEx>
        <w:tc>
          <w:tcPr>
            <w:tcW w:w="587" w:type="dxa"/>
            <w:shd w:val="clear" w:color="auto" w:fill="EEEEEE"/>
          </w:tcPr>
          <w:p w14:paraId="75159020">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14</w:t>
            </w:r>
          </w:p>
        </w:tc>
        <w:tc>
          <w:tcPr>
            <w:tcW w:w="1822" w:type="dxa"/>
            <w:shd w:val="clear" w:color="auto" w:fill="EEEEEE"/>
          </w:tcPr>
          <w:p w14:paraId="2EDDDDB3">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Key results </w:t>
            </w:r>
          </w:p>
        </w:tc>
        <w:tc>
          <w:tcPr>
            <w:tcW w:w="7041" w:type="dxa"/>
            <w:shd w:val="clear" w:color="auto" w:fill="EEEEEE"/>
          </w:tcPr>
          <w:p w14:paraId="2BA45228">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Summarize key results with reference to study objectives</w:t>
            </w:r>
          </w:p>
        </w:tc>
        <w:tc>
          <w:tcPr>
            <w:tcW w:w="720" w:type="dxa"/>
            <w:shd w:val="clear" w:color="auto" w:fill="EEEEEE"/>
          </w:tcPr>
          <w:p w14:paraId="254E6776">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7-8</w:t>
            </w:r>
          </w:p>
        </w:tc>
        <w:tc>
          <w:tcPr>
            <w:tcW w:w="4320" w:type="dxa"/>
            <w:shd w:val="clear" w:color="auto" w:fill="EEEEEE"/>
          </w:tcPr>
          <w:p w14:paraId="7A24C171">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 xml:space="preserve">bidirectional MR analysis provides robust evidence against causal relationships between MI and three major urinary system cancers—PCa, BCa, and MRN. </w:t>
            </w:r>
            <w:r>
              <w:rPr>
                <w:rFonts w:hint="eastAsia" w:eastAsia="宋体"/>
                <w:sz w:val="18"/>
                <w:szCs w:val="18"/>
                <w:lang w:val="en-US" w:eastAsia="zh-CN"/>
              </w:rPr>
              <w:t>...</w:t>
            </w:r>
            <w:r>
              <w:rPr>
                <w:rFonts w:hint="default" w:eastAsia="Times New Roman"/>
                <w:sz w:val="18"/>
                <w:szCs w:val="18"/>
                <w:lang w:val="en-GB" w:eastAsia="en-GB"/>
              </w:rPr>
              <w:t xml:space="preserve">  </w:t>
            </w:r>
          </w:p>
        </w:tc>
      </w:tr>
      <w:tr w14:paraId="3268BBD3">
        <w:tblPrEx>
          <w:tblCellMar>
            <w:top w:w="0" w:type="dxa"/>
            <w:left w:w="108" w:type="dxa"/>
            <w:bottom w:w="0" w:type="dxa"/>
            <w:right w:w="108" w:type="dxa"/>
          </w:tblCellMar>
        </w:tblPrEx>
        <w:tc>
          <w:tcPr>
            <w:tcW w:w="587" w:type="dxa"/>
            <w:shd w:val="clear" w:color="auto" w:fill="auto"/>
          </w:tcPr>
          <w:p w14:paraId="59252507">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15</w:t>
            </w:r>
          </w:p>
        </w:tc>
        <w:tc>
          <w:tcPr>
            <w:tcW w:w="1822" w:type="dxa"/>
            <w:shd w:val="clear" w:color="auto" w:fill="auto"/>
          </w:tcPr>
          <w:p w14:paraId="1F590104">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Limitations</w:t>
            </w:r>
          </w:p>
        </w:tc>
        <w:tc>
          <w:tcPr>
            <w:tcW w:w="7041" w:type="dxa"/>
            <w:shd w:val="clear" w:color="auto" w:fill="auto"/>
          </w:tcPr>
          <w:p w14:paraId="69A9A970">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Discuss limitations of the study, taking into account the validity of the IV assumptions, other sources of potential bias, and imprecision. Discuss both direction and magnitude of any potential bias and any efforts to address them</w:t>
            </w:r>
            <w:r>
              <w:rPr>
                <w:rFonts w:eastAsia="Times New Roman"/>
                <w:sz w:val="18"/>
                <w:szCs w:val="18"/>
                <w:shd w:val="clear" w:color="auto" w:fill="FFFFFF"/>
                <w:lang w:val="en-GB" w:eastAsia="en-GB"/>
              </w:rPr>
              <w:t> </w:t>
            </w:r>
          </w:p>
        </w:tc>
        <w:tc>
          <w:tcPr>
            <w:tcW w:w="720" w:type="dxa"/>
          </w:tcPr>
          <w:p w14:paraId="60E6C50E">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9</w:t>
            </w:r>
          </w:p>
        </w:tc>
        <w:tc>
          <w:tcPr>
            <w:tcW w:w="4320" w:type="dxa"/>
          </w:tcPr>
          <w:p w14:paraId="61289CEF">
            <w:pPr>
              <w:spacing w:before="96" w:beforeLines="40" w:after="96" w:afterLines="40" w:line="24" w:lineRule="atLeast"/>
              <w:rPr>
                <w:rFonts w:hint="default" w:eastAsia="宋体"/>
                <w:sz w:val="18"/>
                <w:szCs w:val="18"/>
                <w:lang w:val="en-US" w:eastAsia="zh-CN"/>
              </w:rPr>
            </w:pPr>
            <w:r>
              <w:rPr>
                <w:rFonts w:hint="default" w:eastAsia="Times New Roman"/>
                <w:sz w:val="18"/>
                <w:szCs w:val="18"/>
                <w:lang w:val="en-GB" w:eastAsia="en-GB"/>
              </w:rPr>
              <w:t>Several limitations merit consideration when interpreting our results. The restriction to individuals of European ancestry, while necessary to minimize population stratification bias, potentially limits generalizability to other ethnic populations where different genetic architectures or environmental interactions might exist</w:t>
            </w:r>
            <w:r>
              <w:rPr>
                <w:rFonts w:hint="eastAsia" w:eastAsia="宋体"/>
                <w:sz w:val="18"/>
                <w:szCs w:val="18"/>
                <w:lang w:val="en-US" w:eastAsia="zh-CN"/>
              </w:rPr>
              <w:t>....</w:t>
            </w:r>
          </w:p>
        </w:tc>
      </w:tr>
      <w:tr w14:paraId="5D9C58CF">
        <w:tblPrEx>
          <w:tblCellMar>
            <w:top w:w="0" w:type="dxa"/>
            <w:left w:w="108" w:type="dxa"/>
            <w:bottom w:w="0" w:type="dxa"/>
            <w:right w:w="108" w:type="dxa"/>
          </w:tblCellMar>
        </w:tblPrEx>
        <w:tc>
          <w:tcPr>
            <w:tcW w:w="587" w:type="dxa"/>
            <w:shd w:val="clear" w:color="auto" w:fill="EEEEEE"/>
          </w:tcPr>
          <w:p w14:paraId="4D95BBEB">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16</w:t>
            </w:r>
          </w:p>
        </w:tc>
        <w:tc>
          <w:tcPr>
            <w:tcW w:w="1822" w:type="dxa"/>
            <w:shd w:val="clear" w:color="auto" w:fill="EEEEEE"/>
          </w:tcPr>
          <w:p w14:paraId="744F6D57">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Interpretation</w:t>
            </w:r>
          </w:p>
        </w:tc>
        <w:tc>
          <w:tcPr>
            <w:tcW w:w="7041" w:type="dxa"/>
            <w:shd w:val="clear" w:color="auto" w:fill="EEEEEE"/>
          </w:tcPr>
          <w:p w14:paraId="4D57C163">
            <w:pPr>
              <w:spacing w:before="96" w:beforeLines="40" w:after="96" w:afterLines="40" w:line="24" w:lineRule="atLeast"/>
              <w:rPr>
                <w:rFonts w:eastAsia="Cambria"/>
                <w:sz w:val="18"/>
                <w:szCs w:val="18"/>
                <w:lang w:val="en-GB" w:eastAsia="en-US"/>
              </w:rPr>
            </w:pPr>
          </w:p>
        </w:tc>
        <w:tc>
          <w:tcPr>
            <w:tcW w:w="720" w:type="dxa"/>
            <w:shd w:val="clear" w:color="auto" w:fill="EEEEEE"/>
          </w:tcPr>
          <w:p w14:paraId="27B86C0F">
            <w:pPr>
              <w:spacing w:before="96" w:beforeLines="40" w:after="96" w:afterLines="40" w:line="24" w:lineRule="atLeast"/>
              <w:rPr>
                <w:rFonts w:hint="default" w:eastAsia="宋体"/>
                <w:sz w:val="18"/>
                <w:szCs w:val="18"/>
                <w:lang w:val="en-US" w:eastAsia="zh-CN"/>
              </w:rPr>
            </w:pPr>
          </w:p>
        </w:tc>
        <w:tc>
          <w:tcPr>
            <w:tcW w:w="4320" w:type="dxa"/>
            <w:shd w:val="clear" w:color="auto" w:fill="EEEEEE"/>
          </w:tcPr>
          <w:p w14:paraId="1229D727">
            <w:pPr>
              <w:spacing w:before="96" w:beforeLines="40" w:after="96" w:afterLines="40" w:line="24" w:lineRule="atLeast"/>
              <w:rPr>
                <w:rFonts w:hint="default" w:eastAsia="宋体"/>
                <w:sz w:val="18"/>
                <w:szCs w:val="18"/>
                <w:lang w:val="en-US" w:eastAsia="zh-CN"/>
              </w:rPr>
            </w:pPr>
          </w:p>
        </w:tc>
      </w:tr>
      <w:tr w14:paraId="27F0B457">
        <w:tblPrEx>
          <w:tblCellMar>
            <w:top w:w="0" w:type="dxa"/>
            <w:left w:w="108" w:type="dxa"/>
            <w:bottom w:w="0" w:type="dxa"/>
            <w:right w:w="108" w:type="dxa"/>
          </w:tblCellMar>
        </w:tblPrEx>
        <w:tc>
          <w:tcPr>
            <w:tcW w:w="587" w:type="dxa"/>
            <w:shd w:val="clear" w:color="auto" w:fill="auto"/>
          </w:tcPr>
          <w:p w14:paraId="0CE7D263">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54EE58E9">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14:paraId="6E4D16F8">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Meaning: Give a cautious overall interpretation of results in the context of their limitations and in comparison with other studies</w:t>
            </w:r>
          </w:p>
        </w:tc>
        <w:tc>
          <w:tcPr>
            <w:tcW w:w="720" w:type="dxa"/>
          </w:tcPr>
          <w:p w14:paraId="4223C3B4">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9</w:t>
            </w:r>
          </w:p>
        </w:tc>
        <w:tc>
          <w:tcPr>
            <w:tcW w:w="4320" w:type="dxa"/>
          </w:tcPr>
          <w:p w14:paraId="2C6E78D8">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 xml:space="preserve">This is especially relevant for the marginally significant results observed in the kidney cancer replication analysis, which, while not reaching conventional significance thresholds, suggest the possibility of very weak causal effects that require cautious interpretation. Additionally, while MR analysis effectively controls for measured and unmeasured confounding through genetic randomization, the potential for genetic pleiotropy or linkage disequilibrium with unmeasured variants could introduce bias, though our extensive pleiotropy testing provides reassurance against systematic violations.  </w:t>
            </w:r>
          </w:p>
        </w:tc>
      </w:tr>
      <w:tr w14:paraId="6368010C">
        <w:tblPrEx>
          <w:tblCellMar>
            <w:top w:w="0" w:type="dxa"/>
            <w:left w:w="108" w:type="dxa"/>
            <w:bottom w:w="0" w:type="dxa"/>
            <w:right w:w="108" w:type="dxa"/>
          </w:tblCellMar>
        </w:tblPrEx>
        <w:tc>
          <w:tcPr>
            <w:tcW w:w="587" w:type="dxa"/>
            <w:shd w:val="clear" w:color="auto" w:fill="EEEEEE"/>
          </w:tcPr>
          <w:p w14:paraId="0DCA1D84">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14:paraId="3CD46C5C">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14:paraId="2FCA1A83">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 xml:space="preserve">Mechanism: Discuss underlying biological mechanisms that could drive a potential causal relationship between the investigated exposure and the outcome, and whether the gene-environment equivalence assumption is reasonable. Use causal language carefully, clarifying that IV estimates may provide causal effects only under certain assumptions </w:t>
            </w:r>
          </w:p>
        </w:tc>
        <w:tc>
          <w:tcPr>
            <w:tcW w:w="720" w:type="dxa"/>
            <w:shd w:val="clear" w:color="auto" w:fill="EEEEEE"/>
          </w:tcPr>
          <w:p w14:paraId="217CF660">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7-8</w:t>
            </w:r>
          </w:p>
        </w:tc>
        <w:tc>
          <w:tcPr>
            <w:tcW w:w="4320" w:type="dxa"/>
            <w:shd w:val="clear" w:color="auto" w:fill="EEEEEE"/>
          </w:tcPr>
          <w:p w14:paraId="64CE432A">
            <w:pPr>
              <w:spacing w:before="96" w:beforeLines="40" w:after="96" w:afterLines="40" w:line="24" w:lineRule="atLeast"/>
              <w:rPr>
                <w:rFonts w:hint="default" w:eastAsia="宋体"/>
                <w:sz w:val="18"/>
                <w:szCs w:val="18"/>
                <w:lang w:val="en-US" w:eastAsia="zh-CN"/>
              </w:rPr>
            </w:pPr>
            <w:r>
              <w:rPr>
                <w:rFonts w:hint="eastAsia" w:eastAsia="Times New Roman"/>
                <w:sz w:val="18"/>
                <w:szCs w:val="18"/>
                <w:lang w:val="en-GB" w:eastAsia="en-GB"/>
              </w:rPr>
              <w:t>The absence of causal associations in our MR analysis contrasts with several observational studies that have reported both positive and negative correlations between cardiovascular disease and various cancers</w:t>
            </w:r>
            <w:r>
              <w:rPr>
                <w:rFonts w:hint="eastAsia" w:eastAsia="宋体"/>
                <w:sz w:val="18"/>
                <w:szCs w:val="18"/>
                <w:lang w:val="en-US" w:eastAsia="zh-CN"/>
              </w:rPr>
              <w:t>...</w:t>
            </w:r>
          </w:p>
        </w:tc>
      </w:tr>
      <w:tr w14:paraId="2994E1D5">
        <w:tblPrEx>
          <w:tblCellMar>
            <w:top w:w="0" w:type="dxa"/>
            <w:left w:w="108" w:type="dxa"/>
            <w:bottom w:w="0" w:type="dxa"/>
            <w:right w:w="108" w:type="dxa"/>
          </w:tblCellMar>
        </w:tblPrEx>
        <w:tc>
          <w:tcPr>
            <w:tcW w:w="587" w:type="dxa"/>
            <w:shd w:val="clear" w:color="auto" w:fill="auto"/>
          </w:tcPr>
          <w:p w14:paraId="55F410AF">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14:paraId="2A07C1C2">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auto"/>
          </w:tcPr>
          <w:p w14:paraId="0CE9C393">
            <w:pPr>
              <w:tabs>
                <w:tab w:val="left" w:pos="1350"/>
              </w:tabs>
              <w:spacing w:before="96" w:beforeLines="40" w:after="96" w:afterLines="40" w:line="24" w:lineRule="atLeast"/>
              <w:rPr>
                <w:rFonts w:eastAsia="Cambria"/>
                <w:sz w:val="18"/>
                <w:szCs w:val="18"/>
                <w:lang w:val="en-GB" w:eastAsia="en-US"/>
              </w:rPr>
            </w:pPr>
            <w:r>
              <w:rPr>
                <w:rFonts w:eastAsia="Times New Roman"/>
                <w:sz w:val="18"/>
                <w:szCs w:val="18"/>
                <w:lang w:val="en-GB" w:eastAsia="en-GB"/>
              </w:rPr>
              <w:t xml:space="preserve">Clinical relevance: Discuss whether the results have clinical or public policy relevance, and </w:t>
            </w:r>
            <w:r>
              <w:rPr>
                <w:rFonts w:eastAsia="Times New Roman"/>
                <w:color w:val="000000"/>
                <w:sz w:val="18"/>
                <w:szCs w:val="18"/>
                <w:lang w:eastAsia="en-GB"/>
              </w:rPr>
              <w:t>to what extent they inform effect sizes of possible interventions</w:t>
            </w:r>
          </w:p>
        </w:tc>
        <w:tc>
          <w:tcPr>
            <w:tcW w:w="720" w:type="dxa"/>
          </w:tcPr>
          <w:p w14:paraId="3D865AA8">
            <w:pPr>
              <w:tabs>
                <w:tab w:val="left" w:pos="1350"/>
              </w:tabs>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9</w:t>
            </w:r>
          </w:p>
        </w:tc>
        <w:tc>
          <w:tcPr>
            <w:tcW w:w="4320" w:type="dxa"/>
          </w:tcPr>
          <w:p w14:paraId="672F8135">
            <w:pPr>
              <w:tabs>
                <w:tab w:val="left" w:pos="1350"/>
              </w:tabs>
              <w:spacing w:before="96" w:beforeLines="40" w:after="96" w:afterLines="40" w:line="24" w:lineRule="atLeast"/>
              <w:rPr>
                <w:rFonts w:hint="eastAsia" w:eastAsia="Times New Roman"/>
                <w:sz w:val="18"/>
                <w:szCs w:val="18"/>
                <w:lang w:val="en-GB" w:eastAsia="en-GB"/>
              </w:rPr>
            </w:pPr>
            <w:r>
              <w:rPr>
                <w:rFonts w:hint="eastAsia" w:eastAsia="Times New Roman"/>
                <w:sz w:val="18"/>
                <w:szCs w:val="18"/>
                <w:lang w:val="en-GB" w:eastAsia="en-GB"/>
              </w:rPr>
              <w:t xml:space="preserve">The clinical implications of our findings are substantial for both cardiovascular and oncological practice. Our results do not support intensified cancer surveillance protocols based solely on MI history, as the absence of causal relationships suggests that increased screening would not yield proportional benefits compared to standard risk-stratified approaches.. </w:t>
            </w:r>
          </w:p>
          <w:p w14:paraId="23BBACF4">
            <w:pPr>
              <w:tabs>
                <w:tab w:val="left" w:pos="1350"/>
              </w:tabs>
              <w:spacing w:before="96" w:beforeLines="40" w:after="96" w:afterLines="40" w:line="24" w:lineRule="atLeast"/>
              <w:rPr>
                <w:rFonts w:eastAsia="Times New Roman"/>
                <w:sz w:val="18"/>
                <w:szCs w:val="18"/>
                <w:lang w:val="en-GB" w:eastAsia="en-GB"/>
              </w:rPr>
            </w:pPr>
          </w:p>
        </w:tc>
      </w:tr>
      <w:tr w14:paraId="14368182">
        <w:tblPrEx>
          <w:tblCellMar>
            <w:top w:w="0" w:type="dxa"/>
            <w:left w:w="108" w:type="dxa"/>
            <w:bottom w:w="0" w:type="dxa"/>
            <w:right w:w="108" w:type="dxa"/>
          </w:tblCellMar>
        </w:tblPrEx>
        <w:tc>
          <w:tcPr>
            <w:tcW w:w="587" w:type="dxa"/>
            <w:tcBorders>
              <w:bottom w:val="single" w:color="7F7F7F" w:sz="6" w:space="0"/>
            </w:tcBorders>
            <w:shd w:val="clear" w:color="auto" w:fill="EEEEEE"/>
          </w:tcPr>
          <w:p w14:paraId="69615775">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17</w:t>
            </w:r>
          </w:p>
        </w:tc>
        <w:tc>
          <w:tcPr>
            <w:tcW w:w="1822" w:type="dxa"/>
            <w:tcBorders>
              <w:bottom w:val="single" w:color="7F7F7F" w:sz="6" w:space="0"/>
            </w:tcBorders>
            <w:shd w:val="clear" w:color="auto" w:fill="EEEEEE"/>
          </w:tcPr>
          <w:p w14:paraId="5226B428">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 xml:space="preserve">Generalizability  </w:t>
            </w:r>
            <w:r>
              <w:rPr>
                <w:rFonts w:eastAsia="Times New Roman"/>
                <w:sz w:val="18"/>
                <w:szCs w:val="18"/>
                <w:lang w:val="en-GB" w:eastAsia="en-GB"/>
              </w:rPr>
              <w:t> </w:t>
            </w:r>
          </w:p>
        </w:tc>
        <w:tc>
          <w:tcPr>
            <w:tcW w:w="7041" w:type="dxa"/>
            <w:tcBorders>
              <w:bottom w:val="single" w:color="7F7F7F" w:sz="6" w:space="0"/>
            </w:tcBorders>
            <w:shd w:val="clear" w:color="auto" w:fill="EEEEEE"/>
          </w:tcPr>
          <w:p w14:paraId="7B0D0151">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Discuss the generalizability of the study results (a) to other populations, (b) across other exposure periods/timings, and (c) across other levels of exposure</w:t>
            </w:r>
          </w:p>
        </w:tc>
        <w:tc>
          <w:tcPr>
            <w:tcW w:w="720" w:type="dxa"/>
            <w:tcBorders>
              <w:bottom w:val="single" w:color="7F7F7F" w:sz="6" w:space="0"/>
            </w:tcBorders>
            <w:shd w:val="clear" w:color="auto" w:fill="EEEEEE"/>
          </w:tcPr>
          <w:p w14:paraId="45852907">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9</w:t>
            </w:r>
          </w:p>
        </w:tc>
        <w:tc>
          <w:tcPr>
            <w:tcW w:w="4320" w:type="dxa"/>
            <w:tcBorders>
              <w:bottom w:val="single" w:color="7F7F7F" w:sz="6" w:space="0"/>
            </w:tcBorders>
            <w:shd w:val="clear" w:color="auto" w:fill="EEEEEE"/>
          </w:tcPr>
          <w:p w14:paraId="2F1FF2D8">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 xml:space="preserve">The restriction to individuals of European ancestry, while necessary to minimize population stratification bias, potentially limits generalizability to other ethnic populations where different genetic architectures or environmental interactions might exist. </w:t>
            </w:r>
          </w:p>
        </w:tc>
      </w:tr>
      <w:tr w14:paraId="467D47EE">
        <w:tblPrEx>
          <w:tblCellMar>
            <w:top w:w="0" w:type="dxa"/>
            <w:left w:w="108" w:type="dxa"/>
            <w:bottom w:w="0" w:type="dxa"/>
            <w:right w:w="108" w:type="dxa"/>
          </w:tblCellMar>
        </w:tblPrEx>
        <w:tc>
          <w:tcPr>
            <w:tcW w:w="587" w:type="dxa"/>
            <w:tcBorders>
              <w:top w:val="single" w:color="7F7F7F" w:sz="6" w:space="0"/>
            </w:tcBorders>
            <w:shd w:val="clear" w:color="auto" w:fill="auto"/>
          </w:tcPr>
          <w:p w14:paraId="362D2C92">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14:paraId="0D8C011F">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OTHER INFORMATION</w:t>
            </w:r>
          </w:p>
        </w:tc>
        <w:tc>
          <w:tcPr>
            <w:tcW w:w="7041" w:type="dxa"/>
            <w:tcBorders>
              <w:top w:val="single" w:color="7F7F7F" w:sz="6" w:space="0"/>
            </w:tcBorders>
            <w:shd w:val="clear" w:color="auto" w:fill="auto"/>
          </w:tcPr>
          <w:p w14:paraId="15C770BB">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14:paraId="3ABB9373">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14:paraId="79847AAE">
            <w:pPr>
              <w:spacing w:before="96" w:beforeLines="40" w:after="96" w:afterLines="40" w:line="24" w:lineRule="atLeast"/>
              <w:rPr>
                <w:rFonts w:eastAsia="Cambria"/>
                <w:sz w:val="18"/>
                <w:szCs w:val="18"/>
                <w:lang w:val="en-GB" w:eastAsia="en-US"/>
              </w:rPr>
            </w:pPr>
          </w:p>
        </w:tc>
      </w:tr>
      <w:tr w14:paraId="0270DBC0">
        <w:tblPrEx>
          <w:tblCellMar>
            <w:top w:w="0" w:type="dxa"/>
            <w:left w:w="108" w:type="dxa"/>
            <w:bottom w:w="0" w:type="dxa"/>
            <w:right w:w="108" w:type="dxa"/>
          </w:tblCellMar>
        </w:tblPrEx>
        <w:tc>
          <w:tcPr>
            <w:tcW w:w="587" w:type="dxa"/>
            <w:shd w:val="clear" w:color="auto" w:fill="EEEEEE"/>
          </w:tcPr>
          <w:p w14:paraId="4250A32D">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18</w:t>
            </w:r>
          </w:p>
        </w:tc>
        <w:tc>
          <w:tcPr>
            <w:tcW w:w="1822" w:type="dxa"/>
            <w:shd w:val="clear" w:color="auto" w:fill="EEEEEE"/>
          </w:tcPr>
          <w:p w14:paraId="6490FF72">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Funding</w:t>
            </w:r>
          </w:p>
        </w:tc>
        <w:tc>
          <w:tcPr>
            <w:tcW w:w="7041" w:type="dxa"/>
            <w:shd w:val="clear" w:color="auto" w:fill="EEEEEE"/>
          </w:tcPr>
          <w:p w14:paraId="3FD17FBB">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Describe sources of funding and the role of funders in the present study and, if applicable, sources of funding for the databases and original study or studies on which the present study is based</w:t>
            </w:r>
          </w:p>
        </w:tc>
        <w:tc>
          <w:tcPr>
            <w:tcW w:w="720" w:type="dxa"/>
            <w:shd w:val="clear" w:color="auto" w:fill="EEEEEE"/>
          </w:tcPr>
          <w:p w14:paraId="6BF8B223">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10</w:t>
            </w:r>
          </w:p>
        </w:tc>
        <w:tc>
          <w:tcPr>
            <w:tcW w:w="4320" w:type="dxa"/>
            <w:shd w:val="clear" w:color="auto" w:fill="EEEEEE"/>
          </w:tcPr>
          <w:p w14:paraId="2AAA9DA3">
            <w:pPr>
              <w:spacing w:before="96" w:beforeLines="40" w:after="96" w:afterLines="40" w:line="24" w:lineRule="atLeast"/>
              <w:rPr>
                <w:rFonts w:hint="default" w:eastAsia="宋体"/>
                <w:sz w:val="18"/>
                <w:szCs w:val="18"/>
                <w:lang w:val="en-US" w:eastAsia="zh-CN"/>
              </w:rPr>
            </w:pPr>
            <w:r>
              <w:rPr>
                <w:rFonts w:hint="default" w:eastAsia="宋体"/>
                <w:sz w:val="18"/>
                <w:szCs w:val="18"/>
                <w:lang w:val="en-US" w:eastAsia="zh-CN"/>
              </w:rPr>
              <w:t xml:space="preserve">This study was funded by the </w:t>
            </w:r>
            <w:r>
              <w:rPr>
                <w:rFonts w:hint="eastAsia" w:eastAsia="宋体"/>
                <w:sz w:val="18"/>
                <w:szCs w:val="18"/>
                <w:lang w:val="en-US" w:eastAsia="zh-CN"/>
              </w:rPr>
              <w:t>.....</w:t>
            </w:r>
          </w:p>
        </w:tc>
      </w:tr>
      <w:tr w14:paraId="18BC54B3">
        <w:tblPrEx>
          <w:tblCellMar>
            <w:top w:w="0" w:type="dxa"/>
            <w:left w:w="108" w:type="dxa"/>
            <w:bottom w:w="0" w:type="dxa"/>
            <w:right w:w="108" w:type="dxa"/>
          </w:tblCellMar>
        </w:tblPrEx>
        <w:tc>
          <w:tcPr>
            <w:tcW w:w="587" w:type="dxa"/>
            <w:shd w:val="clear" w:color="auto" w:fill="auto"/>
          </w:tcPr>
          <w:p w14:paraId="47F918AA">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19</w:t>
            </w:r>
          </w:p>
        </w:tc>
        <w:tc>
          <w:tcPr>
            <w:tcW w:w="1822" w:type="dxa"/>
            <w:shd w:val="clear" w:color="auto" w:fill="auto"/>
          </w:tcPr>
          <w:p w14:paraId="2B4FB611">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Data and data sharing </w:t>
            </w:r>
          </w:p>
        </w:tc>
        <w:tc>
          <w:tcPr>
            <w:tcW w:w="7041" w:type="dxa"/>
            <w:shd w:val="clear" w:color="auto" w:fill="auto"/>
          </w:tcPr>
          <w:p w14:paraId="308C47CD">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Provide the data used to perform all analyses or report where and how the data can be accessed, and reference these sources in the article. Provide the statistical code needed to reproduce the results in the article, or report whether the code is publicly accessible and if so, where</w:t>
            </w:r>
          </w:p>
        </w:tc>
        <w:tc>
          <w:tcPr>
            <w:tcW w:w="720" w:type="dxa"/>
          </w:tcPr>
          <w:p w14:paraId="41FD3660">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10</w:t>
            </w:r>
          </w:p>
        </w:tc>
        <w:tc>
          <w:tcPr>
            <w:tcW w:w="4320" w:type="dxa"/>
          </w:tcPr>
          <w:p w14:paraId="681A5C40">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All data generated or analyzed in this study are included in this published article [and its supplementary information files] and are available from the corresponding author upon request.</w:t>
            </w:r>
          </w:p>
        </w:tc>
      </w:tr>
      <w:tr w14:paraId="5BCF121B">
        <w:tblPrEx>
          <w:tblCellMar>
            <w:top w:w="0" w:type="dxa"/>
            <w:left w:w="108" w:type="dxa"/>
            <w:bottom w:w="0" w:type="dxa"/>
            <w:right w:w="108" w:type="dxa"/>
          </w:tblCellMar>
        </w:tblPrEx>
        <w:tc>
          <w:tcPr>
            <w:tcW w:w="587" w:type="dxa"/>
            <w:tcBorders>
              <w:bottom w:val="single" w:color="7F7F7F" w:sz="6" w:space="0"/>
            </w:tcBorders>
            <w:shd w:val="clear" w:color="auto" w:fill="EEEEEE"/>
          </w:tcPr>
          <w:p w14:paraId="4D2FF8AC">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20</w:t>
            </w:r>
          </w:p>
        </w:tc>
        <w:tc>
          <w:tcPr>
            <w:tcW w:w="1822" w:type="dxa"/>
            <w:tcBorders>
              <w:bottom w:val="single" w:color="7F7F7F" w:sz="6" w:space="0"/>
            </w:tcBorders>
            <w:shd w:val="clear" w:color="auto" w:fill="EEEEEE"/>
          </w:tcPr>
          <w:p w14:paraId="49C98B68">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Conflicts of Interest  </w:t>
            </w:r>
          </w:p>
        </w:tc>
        <w:tc>
          <w:tcPr>
            <w:tcW w:w="7041" w:type="dxa"/>
            <w:tcBorders>
              <w:bottom w:val="single" w:color="7F7F7F" w:sz="6" w:space="0"/>
            </w:tcBorders>
            <w:shd w:val="clear" w:color="auto" w:fill="EEEEEE"/>
          </w:tcPr>
          <w:p w14:paraId="304CB4E6">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All authors should declare all potential conflicts of interest</w:t>
            </w:r>
          </w:p>
        </w:tc>
        <w:tc>
          <w:tcPr>
            <w:tcW w:w="720" w:type="dxa"/>
            <w:tcBorders>
              <w:bottom w:val="single" w:color="7F7F7F" w:sz="6" w:space="0"/>
            </w:tcBorders>
            <w:shd w:val="clear" w:color="auto" w:fill="EEEEEE"/>
          </w:tcPr>
          <w:p w14:paraId="1AE524DB">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10</w:t>
            </w:r>
          </w:p>
        </w:tc>
        <w:tc>
          <w:tcPr>
            <w:tcW w:w="4320" w:type="dxa"/>
            <w:tcBorders>
              <w:bottom w:val="single" w:color="7F7F7F" w:sz="6" w:space="0"/>
            </w:tcBorders>
            <w:shd w:val="clear" w:color="auto" w:fill="EEEEEE"/>
          </w:tcPr>
          <w:p w14:paraId="0C2EC438">
            <w:pPr>
              <w:spacing w:before="96" w:beforeLines="40" w:after="96" w:afterLines="40" w:line="24" w:lineRule="atLeast"/>
              <w:rPr>
                <w:rFonts w:eastAsia="Times New Roman"/>
                <w:sz w:val="18"/>
                <w:szCs w:val="18"/>
                <w:lang w:val="en-GB" w:eastAsia="en-GB"/>
              </w:rPr>
            </w:pPr>
            <w:r>
              <w:rPr>
                <w:rFonts w:hint="default" w:eastAsia="Times New Roman"/>
                <w:sz w:val="18"/>
                <w:szCs w:val="18"/>
                <w:lang w:val="en-GB" w:eastAsia="en-GB"/>
              </w:rPr>
              <w:t>The au</w:t>
            </w:r>
            <w:bookmarkStart w:id="0" w:name="_GoBack"/>
            <w:bookmarkEnd w:id="0"/>
            <w:r>
              <w:rPr>
                <w:rFonts w:hint="default" w:eastAsia="Times New Roman"/>
                <w:sz w:val="18"/>
                <w:szCs w:val="18"/>
                <w:lang w:val="en-GB" w:eastAsia="en-GB"/>
              </w:rPr>
              <w:t>thors declare no competing interests.</w:t>
            </w:r>
          </w:p>
        </w:tc>
      </w:tr>
    </w:tbl>
    <w:p w14:paraId="51A62C6B">
      <w:pPr>
        <w:spacing w:before="240" w:after="240"/>
        <w:rPr>
          <w:sz w:val="19"/>
          <w:szCs w:val="19"/>
        </w:rPr>
      </w:pPr>
      <w:r>
        <w:rPr>
          <w:sz w:val="19"/>
          <w:szCs w:val="19"/>
        </w:rPr>
        <w:t>This checklist is copyrighted by the Equator Network under the Creative Commons Attribution 3.0 Unported (CC BY 3.0) license.</w:t>
      </w:r>
    </w:p>
    <w:p w14:paraId="66DAA88F">
      <w:pPr>
        <w:widowControl w:val="0"/>
        <w:autoSpaceDE w:val="0"/>
        <w:autoSpaceDN w:val="0"/>
        <w:adjustRightInd w:val="0"/>
        <w:spacing w:before="240" w:after="240" w:line="240" w:lineRule="auto"/>
        <w:ind w:left="640" w:hanging="640"/>
        <w:rPr>
          <w:sz w:val="19"/>
          <w:szCs w:val="19"/>
        </w:rPr>
      </w:pPr>
      <w:r>
        <w:rPr>
          <w:sz w:val="19"/>
          <w:szCs w:val="19"/>
        </w:rPr>
        <w:fldChar w:fldCharType="begin" w:fldLock="1"/>
      </w:r>
      <w:r>
        <w:rPr>
          <w:sz w:val="19"/>
          <w:szCs w:val="19"/>
        </w:rPr>
        <w:instrText xml:space="preserve">ADDIN Mendeley Bibliography CSL_BIBLIOGRAPHY </w:instrText>
      </w:r>
      <w:r>
        <w:rPr>
          <w:sz w:val="19"/>
          <w:szCs w:val="19"/>
        </w:rPr>
        <w:fldChar w:fldCharType="separate"/>
      </w:r>
      <w:r>
        <w:rPr>
          <w:sz w:val="19"/>
          <w:szCs w:val="19"/>
        </w:rPr>
        <w:t xml:space="preserve">1. </w:t>
      </w:r>
      <w:r>
        <w:rPr>
          <w:sz w:val="19"/>
          <w:szCs w:val="19"/>
        </w:rPr>
        <w:tab/>
      </w:r>
      <w:r>
        <w:rPr>
          <w:sz w:val="19"/>
          <w:szCs w:val="19"/>
        </w:rPr>
        <w:t xml:space="preserve">Skrivankova VW, Richmond RC, Woolf BAR, Yarmolinsky J, Davies NM, Swanson SA, et al. Strengthening the Reporting of Observational Studies in Epidemiology using Mendelian Randomization (STROBE-MR) Statement. JAMA. 2021;under review. </w:t>
      </w:r>
    </w:p>
    <w:p w14:paraId="6548D443">
      <w:pPr>
        <w:widowControl w:val="0"/>
        <w:autoSpaceDE w:val="0"/>
        <w:autoSpaceDN w:val="0"/>
        <w:adjustRightInd w:val="0"/>
        <w:spacing w:before="240" w:after="240" w:line="240" w:lineRule="auto"/>
        <w:ind w:left="640" w:hanging="640"/>
        <w:rPr>
          <w:sz w:val="19"/>
          <w:szCs w:val="19"/>
        </w:rPr>
      </w:pPr>
      <w:r>
        <w:rPr>
          <w:sz w:val="19"/>
          <w:szCs w:val="19"/>
        </w:rPr>
        <w:t xml:space="preserve">2. </w:t>
      </w:r>
      <w:r>
        <w:rPr>
          <w:sz w:val="19"/>
          <w:szCs w:val="19"/>
        </w:rPr>
        <w:tab/>
      </w:r>
      <w:r>
        <w:rPr>
          <w:sz w:val="19"/>
          <w:szCs w:val="19"/>
        </w:rPr>
        <w:t xml:space="preserve">Skrivankova VW, Richmond RC, Woolf BAR, Davies NM, Swanson SA, VanderWeele TJ, et al. Strengthening the Reporting of Observational Studies in Epidemiology using Mendelian Randomisation (STROBE-MR): Explanation and Elaboration. BMJ. 2021;375:n2233. </w:t>
      </w:r>
    </w:p>
    <w:p w14:paraId="353A8757">
      <w:pPr>
        <w:spacing w:before="240" w:after="240"/>
      </w:pPr>
      <w:r>
        <w:rPr>
          <w:sz w:val="19"/>
          <w:szCs w:val="19"/>
        </w:rPr>
        <w:fldChar w:fldCharType="end"/>
      </w:r>
    </w:p>
    <w:sectPr>
      <w:footerReference r:id="rId5" w:type="default"/>
      <w:footerReference r:id="rId6" w:type="even"/>
      <w:pgSz w:w="15840" w:h="12240" w:orient="landscape"/>
      <w:pgMar w:top="1008" w:right="720" w:bottom="1008" w:left="720" w:header="720" w:footer="720" w:gutter="0"/>
      <w:pgNumType w:start="1"/>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46EDC">
    <w:pPr>
      <w:pStyle w:val="3"/>
      <w:jc w:val="right"/>
    </w:pPr>
    <w:r>
      <w:fldChar w:fldCharType="begin"/>
    </w:r>
    <w:r>
      <w:instrText xml:space="preserve"> PAGE   \* MERGEFORMAT </w:instrText>
    </w:r>
    <w:r>
      <w:fldChar w:fldCharType="separate"/>
    </w:r>
    <w:r>
      <w:t>1</w:t>
    </w:r>
    <w:r>
      <w:fldChar w:fldCharType="end"/>
    </w:r>
  </w:p>
  <w:p w14:paraId="59EEC7A9">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E42FC">
    <w:pPr>
      <w:pStyle w:val="3"/>
      <w:framePr w:wrap="auto" w:vAnchor="text" w:hAnchor="margin" w:xAlign="right" w:y="1"/>
      <w:rPr>
        <w:rStyle w:val="7"/>
      </w:rPr>
    </w:pPr>
  </w:p>
  <w:p w14:paraId="39ED9806">
    <w:pPr>
      <w:pStyle w:val="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3M2Y5NzIzMDFlZjAyY2Q4Njk5ODkyYjFjNzBiNTQifQ=="/>
  </w:docVars>
  <w:rsids>
    <w:rsidRoot w:val="00914C56"/>
    <w:rsid w:val="000A4CE8"/>
    <w:rsid w:val="002663E6"/>
    <w:rsid w:val="003D447D"/>
    <w:rsid w:val="003D47DD"/>
    <w:rsid w:val="004B5CBB"/>
    <w:rsid w:val="004E11D4"/>
    <w:rsid w:val="00514462"/>
    <w:rsid w:val="005520ED"/>
    <w:rsid w:val="005A0D0D"/>
    <w:rsid w:val="00685D31"/>
    <w:rsid w:val="006912BF"/>
    <w:rsid w:val="006A41D0"/>
    <w:rsid w:val="006B08D5"/>
    <w:rsid w:val="00804498"/>
    <w:rsid w:val="00914C56"/>
    <w:rsid w:val="00950729"/>
    <w:rsid w:val="009854A9"/>
    <w:rsid w:val="009E033F"/>
    <w:rsid w:val="00BB6328"/>
    <w:rsid w:val="00D65199"/>
    <w:rsid w:val="00D8098C"/>
    <w:rsid w:val="00ED48A3"/>
    <w:rsid w:val="00EF4B94"/>
    <w:rsid w:val="02B60913"/>
    <w:rsid w:val="10D816A6"/>
    <w:rsid w:val="207F1290"/>
    <w:rsid w:val="226225BA"/>
    <w:rsid w:val="2E3950A0"/>
    <w:rsid w:val="3BB00A89"/>
    <w:rsid w:val="3D70122C"/>
    <w:rsid w:val="5083669D"/>
    <w:rsid w:val="51A229BD"/>
    <w:rsid w:val="57653D67"/>
    <w:rsid w:val="612C5110"/>
    <w:rsid w:val="61A260A8"/>
    <w:rsid w:val="63AE011A"/>
    <w:rsid w:val="78D22AA5"/>
    <w:rsid w:val="7B3C200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qFormat="1"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76" w:lineRule="auto"/>
    </w:pPr>
    <w:rPr>
      <w:rFonts w:ascii="Arial" w:hAnsi="Arial" w:eastAsia="Arial" w:cs="Arial"/>
      <w:sz w:val="22"/>
      <w:szCs w:val="22"/>
      <w:lang w:val="en" w:eastAsia="de-CH"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680"/>
        <w:tab w:val="right" w:pos="9360"/>
      </w:tabs>
      <w:spacing w:line="240" w:lineRule="auto"/>
    </w:pPr>
  </w:style>
  <w:style w:type="character" w:styleId="6">
    <w:name w:val="Strong"/>
    <w:basedOn w:val="5"/>
    <w:qFormat/>
    <w:uiPriority w:val="22"/>
    <w:rPr>
      <w:b/>
    </w:rPr>
  </w:style>
  <w:style w:type="character" w:styleId="7">
    <w:name w:val="page number"/>
    <w:basedOn w:val="5"/>
    <w:semiHidden/>
    <w:unhideWhenUsed/>
    <w:qFormat/>
    <w:uiPriority w:val="99"/>
  </w:style>
  <w:style w:type="character" w:styleId="8">
    <w:name w:val="line number"/>
    <w:basedOn w:val="5"/>
    <w:semiHidden/>
    <w:unhideWhenUsed/>
    <w:qFormat/>
    <w:uiPriority w:val="99"/>
  </w:style>
  <w:style w:type="character" w:customStyle="1" w:styleId="9">
    <w:name w:val="Footer Char"/>
    <w:basedOn w:val="5"/>
    <w:link w:val="3"/>
    <w:qFormat/>
    <w:uiPriority w:val="99"/>
    <w:rPr>
      <w:rFonts w:ascii="Arial" w:hAnsi="Arial" w:eastAsia="Arial" w:cs="Arial"/>
      <w:lang w:val="en" w:eastAsia="de-CH"/>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76252F6EC97BD48BFC15397CDF87BCA" ma:contentTypeVersion="14" ma:contentTypeDescription="Ein neues Dokument erstellen." ma:contentTypeScope="" ma:versionID="99bba3a2774fdba6befc8d470ad041a8">
  <xsd:schema xmlns:xsd="http://www.w3.org/2001/XMLSchema" xmlns:xs="http://www.w3.org/2001/XMLSchema" xmlns:p="http://schemas.microsoft.com/office/2006/metadata/properties" xmlns:ns3="892d8916-a04a-483c-b38c-baf9957a1c5f" xmlns:ns4="697eed72-5420-4f01-93c1-7c9f4310e871" targetNamespace="http://schemas.microsoft.com/office/2006/metadata/properties" ma:root="true" ma:fieldsID="08b8b0ba8c484102a3bbe13611225d97" ns3:_="" ns4:_="">
    <xsd:import namespace="892d8916-a04a-483c-b38c-baf9957a1c5f"/>
    <xsd:import namespace="697eed72-5420-4f01-93c1-7c9f4310e8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d8916-a04a-483c-b38c-baf9957a1c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7eed72-5420-4f01-93c1-7c9f4310e871"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B0931C-FCE2-4CC4-80DE-15614B41F1F9}">
  <ds:schemaRefs/>
</ds:datastoreItem>
</file>

<file path=customXml/itemProps2.xml><?xml version="1.0" encoding="utf-8"?>
<ds:datastoreItem xmlns:ds="http://schemas.openxmlformats.org/officeDocument/2006/customXml" ds:itemID="{B7DA32DB-E5B8-4E32-AD11-08F2E668867B}">
  <ds:schemaRefs/>
</ds:datastoreItem>
</file>

<file path=customXml/itemProps3.xml><?xml version="1.0" encoding="utf-8"?>
<ds:datastoreItem xmlns:ds="http://schemas.openxmlformats.org/officeDocument/2006/customXml" ds:itemID="{A9898B61-61B7-44F1-9388-8B27875B1EDA}">
  <ds:schemaRefs/>
</ds:datastoreItem>
</file>

<file path=customXml/itemProps4.xml><?xml version="1.0" encoding="utf-8"?>
<ds:datastoreItem xmlns:ds="http://schemas.openxmlformats.org/officeDocument/2006/customXml" ds:itemID="{5DF20111-77FD-4F18-8E31-D737874646AB}">
  <ds:schemaRefs/>
</ds:datastoreItem>
</file>

<file path=docProps/app.xml><?xml version="1.0" encoding="utf-8"?>
<Properties xmlns="http://schemas.openxmlformats.org/officeDocument/2006/extended-properties" xmlns:vt="http://schemas.openxmlformats.org/officeDocument/2006/docPropsVTypes">
  <Template>Normal.dotm</Template>
  <Company>University of Bern</Company>
  <Pages>7</Pages>
  <Words>2571</Words>
  <Characters>15892</Characters>
  <Lines>286</Lines>
  <Paragraphs>146</Paragraphs>
  <TotalTime>0</TotalTime>
  <ScaleCrop>false</ScaleCrop>
  <LinksUpToDate>false</LinksUpToDate>
  <CharactersWithSpaces>18286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2022-04-07T08:09:00Z</dcterms:created>
  <dc:creator>Whitesell, Veronika (ISPM)</dc:creator>
  <cp:lastModifiedBy>Nick</cp:lastModifiedBy>
  <cp:lastPrinted>2021-09-28T07:08:00Z</cp:lastPrinted>
  <dcterms:modified xsi:type="dcterms:W3CDTF">2025-08-11T12:07:22Z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0x010100D76252F6EC97BD48BFC15397CDF87BCA</vt:lpwstr>
  </property>
  <property fmtid="{D5CDD505-2E9C-101B-9397-08002B2CF9AE}" pid="3" name="Mendeley Document_1">
    <vt:lpwstr>True</vt:lpwstr>
  </property>
  <property fmtid="{D5CDD505-2E9C-101B-9397-08002B2CF9AE}" pid="4" name="Mendeley Unique User Id_1">
    <vt:lpwstr>54eed440-5ecd-3ecc-9960-859334ccb0da</vt:lpwstr>
  </property>
  <property fmtid="{D5CDD505-2E9C-101B-9397-08002B2CF9AE}" pid="5" name="Mendeley Citation Style_1">
    <vt:lpwstr>http://www.zotero.org/styles/vancouver-superscript</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http://www.zotero.org/styles/vancouver-imperial-college-london</vt:lpwstr>
  </property>
  <property fmtid="{D5CDD505-2E9C-101B-9397-08002B2CF9AE}" pid="21" name="Mendeley Recent Style Name 7_1">
    <vt:lpwstr>Imperial College London - Vancouver</vt:lpwstr>
  </property>
  <property fmtid="{D5CDD505-2E9C-101B-9397-08002B2CF9AE}" pid="22" name="Mendeley Recent Style Id 8_1">
    <vt:lpwstr>http://www.zotero.org/styles/vancouver</vt:lpwstr>
  </property>
  <property fmtid="{D5CDD505-2E9C-101B-9397-08002B2CF9AE}" pid="23" name="Mendeley Recent Style Name 8_1">
    <vt:lpwstr>Vancouver</vt:lpwstr>
  </property>
  <property fmtid="{D5CDD505-2E9C-101B-9397-08002B2CF9AE}" pid="24" name="Mendeley Recent Style Id 9_1">
    <vt:lpwstr>http://www.zotero.org/styles/vancouver-superscript</vt:lpwstr>
  </property>
  <property fmtid="{D5CDD505-2E9C-101B-9397-08002B2CF9AE}" pid="25" name="Mendeley Recent Style Name 9_1">
    <vt:lpwstr>Vancouver (superscript)</vt:lpwstr>
  </property>
  <property fmtid="{D5CDD505-2E9C-101B-9397-08002B2CF9AE}" pid="26" name="KSOProductBuildVer">
    <vt:lpwstr>2052-12.1.0.21915</vt:lpwstr>
  </property>
  <property fmtid="{D5CDD505-2E9C-101B-9397-08002B2CF9AE}" pid="27" name="ICV">
    <vt:lpwstr>DF02CBD0BA2243D986A75D980C785DCE_13</vt:lpwstr>
  </property>
  <property fmtid="{D5CDD505-2E9C-101B-9397-08002B2CF9AE}" pid="28" name="KSOTemplateDocerSaveRecord">
    <vt:lpwstr>eyJoZGlkIjoiOTc3M2Y5NzIzMDFlZjAyY2Q4Njk5ODkyYjFjNzBiNTQiLCJ1c2VySWQiOiIyMjc0NjY3ODYifQ==</vt:lpwstr>
  </property>
</Properties>
</file>