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B2C49" w14:textId="77777777" w:rsidR="00714E88" w:rsidRDefault="00000000">
      <w:pPr>
        <w:pStyle w:val="a"/>
        <w:spacing w:before="240" w:line="276" w:lineRule="auto"/>
        <w:rPr>
          <w:rFonts w:ascii="Times New Roman" w:eastAsiaTheme="majorHAnsi" w:hAnsi="Times New Roman" w:cs="Times New Roman"/>
          <w:b/>
          <w:bCs/>
          <w:color w:val="auto"/>
          <w:sz w:val="24"/>
          <w:szCs w:val="24"/>
        </w:rPr>
      </w:pPr>
      <w:r>
        <w:rPr>
          <w:rFonts w:ascii="Times New Roman" w:eastAsiaTheme="majorHAnsi" w:hAnsi="Times New Roman" w:cs="Times New Roman" w:hint="eastAsia"/>
          <w:b/>
          <w:bCs/>
          <w:color w:val="auto"/>
          <w:sz w:val="24"/>
          <w:szCs w:val="24"/>
        </w:rPr>
        <w:t>Overview</w:t>
      </w:r>
    </w:p>
    <w:p w14:paraId="3F5EDF9C" w14:textId="77777777" w:rsidR="00714E88" w:rsidRDefault="00000000">
      <w:pPr>
        <w:pStyle w:val="a"/>
        <w:spacing w:before="240" w:line="276" w:lineRule="auto"/>
        <w:ind w:firstLine="800"/>
        <w:rPr>
          <w:rFonts w:ascii="Times New Roman" w:eastAsiaTheme="majorHAnsi" w:hAnsi="Times New Roman" w:cs="Times New Roman"/>
          <w:color w:val="auto"/>
        </w:rPr>
      </w:pPr>
      <w:r>
        <w:rPr>
          <w:rFonts w:ascii="Times New Roman" w:eastAsiaTheme="majorHAnsi" w:hAnsi="Times New Roman" w:cs="Times New Roman" w:hint="eastAsia"/>
          <w:color w:val="auto"/>
        </w:rPr>
        <w:t xml:space="preserve">The </w:t>
      </w:r>
      <w:r>
        <w:rPr>
          <w:rFonts w:ascii="Times New Roman" w:eastAsiaTheme="majorHAnsi" w:hAnsi="Times New Roman" w:cs="Times New Roman"/>
          <w:color w:val="auto"/>
        </w:rPr>
        <w:t>supplementary</w:t>
      </w:r>
      <w:r>
        <w:rPr>
          <w:rFonts w:ascii="Times New Roman" w:eastAsiaTheme="majorHAnsi" w:hAnsi="Times New Roman" w:cs="Times New Roman" w:hint="eastAsia"/>
          <w:color w:val="auto"/>
        </w:rPr>
        <w:t xml:space="preserve"> materials provide additional results of proposed method in Section A.</w:t>
      </w:r>
    </w:p>
    <w:p w14:paraId="35B53D83" w14:textId="77777777" w:rsidR="00714E88" w:rsidRDefault="00000000">
      <w:pPr>
        <w:pStyle w:val="a"/>
        <w:spacing w:before="240" w:line="276" w:lineRule="auto"/>
        <w:rPr>
          <w:rFonts w:ascii="Times New Roman" w:eastAsiaTheme="majorHAnsi" w:hAnsi="Times New Roman" w:cs="Times New Roman"/>
          <w:b/>
          <w:bCs/>
          <w:color w:val="auto"/>
          <w:sz w:val="24"/>
          <w:szCs w:val="24"/>
        </w:rPr>
      </w:pPr>
      <w:r>
        <w:rPr>
          <w:rFonts w:ascii="Times New Roman" w:eastAsiaTheme="majorHAnsi" w:hAnsi="Times New Roman" w:cs="Times New Roman" w:hint="eastAsia"/>
          <w:b/>
          <w:bCs/>
          <w:color w:val="auto"/>
          <w:sz w:val="24"/>
          <w:szCs w:val="24"/>
        </w:rPr>
        <w:t>A. Additional Results of Proposed Method</w:t>
      </w:r>
    </w:p>
    <w:p w14:paraId="05059C44" w14:textId="77777777" w:rsidR="00714E88" w:rsidRDefault="00000000">
      <w:pPr>
        <w:pStyle w:val="a"/>
        <w:spacing w:before="240" w:line="276" w:lineRule="auto"/>
        <w:ind w:firstLine="800"/>
        <w:rPr>
          <w:rFonts w:ascii="Times New Roman" w:eastAsiaTheme="majorHAnsi" w:hAnsi="Times New Roman" w:cs="Times New Roman"/>
          <w:color w:val="auto"/>
        </w:rPr>
      </w:pPr>
      <w:r>
        <w:rPr>
          <w:rFonts w:ascii="Times New Roman" w:eastAsiaTheme="majorHAnsi" w:hAnsi="Times New Roman" w:cs="Times New Roman" w:hint="eastAsia"/>
          <w:color w:val="auto"/>
        </w:rPr>
        <w:t xml:space="preserve">This section provides how the proposed method interprets LIME and SHAP analysis results for three </w:t>
      </w:r>
      <w:r>
        <w:rPr>
          <w:rFonts w:ascii="Times New Roman" w:eastAsiaTheme="majorHAnsi" w:hAnsi="Times New Roman" w:cs="Times New Roman"/>
          <w:color w:val="auto"/>
        </w:rPr>
        <w:t>specific</w:t>
      </w:r>
      <w:r>
        <w:rPr>
          <w:rFonts w:ascii="Times New Roman" w:eastAsiaTheme="majorHAnsi" w:hAnsi="Times New Roman" w:cs="Times New Roman" w:hint="eastAsia"/>
          <w:color w:val="auto"/>
        </w:rPr>
        <w:t xml:space="preserve"> data instances, covering No Fault, Rich Mixture, and Low Voltage. </w:t>
      </w:r>
      <w:r>
        <w:rPr>
          <w:rFonts w:ascii="Times New Roman" w:eastAsiaTheme="majorHAnsi" w:hAnsi="Times New Roman" w:cs="Times New Roman"/>
          <w:color w:val="auto"/>
        </w:rPr>
        <w:t>These supplementary figures and tables are organized to illustrate the complete workflow of the proposed method. For each diagnostic case, LIME and SHAP plots (Figures S1</w:t>
      </w:r>
      <w:r>
        <w:rPr>
          <w:rFonts w:ascii="Times New Roman" w:eastAsiaTheme="majorHAnsi" w:hAnsi="Times New Roman" w:cs="Times New Roman" w:hint="eastAsia"/>
          <w:color w:val="auto"/>
        </w:rPr>
        <w:t>-</w:t>
      </w:r>
      <w:r>
        <w:rPr>
          <w:rFonts w:ascii="Times New Roman" w:eastAsiaTheme="majorHAnsi" w:hAnsi="Times New Roman" w:cs="Times New Roman"/>
          <w:color w:val="auto"/>
        </w:rPr>
        <w:t xml:space="preserve">S6) provide the visual explanations generated by the underlying ML model, while the corresponding tables (Tables S1, S2, S4, S5, S7, S8) present the textual interpretations derived by the VLM. To further enhance interpretability, the unified reports (Tables S3, S6, S9) consolidate both LIME- and SHAP-based narratives into a single explanation using the LLM. This step-by-step presentation allows readers to trace how the method transitions from raw visual outputs to structured textual interpretations and finally to integrated diagnostic reasoning. </w:t>
      </w:r>
    </w:p>
    <w:p w14:paraId="43488FBB" w14:textId="77777777" w:rsidR="00714E88" w:rsidRDefault="00000000">
      <w:pPr>
        <w:pStyle w:val="a"/>
        <w:spacing w:before="240" w:line="276" w:lineRule="auto"/>
        <w:ind w:firstLine="800"/>
        <w:rPr>
          <w:rFonts w:ascii="Times New Roman" w:eastAsiaTheme="majorHAnsi" w:hAnsi="Times New Roman" w:cs="Times New Roman"/>
          <w:color w:val="auto"/>
        </w:rPr>
      </w:pPr>
      <w:r>
        <w:rPr>
          <w:rFonts w:ascii="Times New Roman" w:eastAsiaTheme="majorHAnsi" w:hAnsi="Times New Roman" w:cs="Times New Roman"/>
          <w:noProof/>
        </w:rPr>
        <w:drawing>
          <wp:anchor distT="0" distB="0" distL="114300" distR="114300" simplePos="0" relativeHeight="251659264" behindDoc="0" locked="0" layoutInCell="1" allowOverlap="1" wp14:anchorId="0ABB6520" wp14:editId="52233AE4">
            <wp:simplePos x="0" y="0"/>
            <wp:positionH relativeFrom="column">
              <wp:posOffset>0</wp:posOffset>
            </wp:positionH>
            <wp:positionV relativeFrom="paragraph">
              <wp:posOffset>772795</wp:posOffset>
            </wp:positionV>
            <wp:extent cx="5731510" cy="2119630"/>
            <wp:effectExtent l="0" t="0" r="2540" b="0"/>
            <wp:wrapTopAndBottom/>
            <wp:docPr id="1406331689" name="그림 2" descr="텍스트, 스크린샷, 도표, 폰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331689" name="그림 2" descr="텍스트, 스크린샷, 도표, 폰트이(가) 표시된 사진&#10;&#10;AI 생성 콘텐츠는 정확하지 않을 수 있습니다."/>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731510" cy="2119630"/>
                    </a:xfrm>
                    <a:prstGeom prst="rect">
                      <a:avLst/>
                    </a:prstGeom>
                    <a:noFill/>
                    <a:ln>
                      <a:noFill/>
                    </a:ln>
                  </pic:spPr>
                </pic:pic>
              </a:graphicData>
            </a:graphic>
          </wp:anchor>
        </w:drawing>
      </w:r>
      <w:r>
        <w:rPr>
          <w:rFonts w:ascii="Times New Roman" w:eastAsiaTheme="majorHAnsi" w:hAnsi="Times New Roman" w:cs="Times New Roman"/>
          <w:color w:val="auto"/>
        </w:rPr>
        <w:t xml:space="preserve">By including these additional examples, we aim to demonstrate the robustness and generality of the proposed </w:t>
      </w:r>
      <w:r>
        <w:rPr>
          <w:rFonts w:ascii="Times New Roman" w:eastAsiaTheme="majorHAnsi" w:hAnsi="Times New Roman" w:cs="Times New Roman" w:hint="eastAsia"/>
          <w:color w:val="auto"/>
        </w:rPr>
        <w:t>method</w:t>
      </w:r>
      <w:r>
        <w:rPr>
          <w:rFonts w:ascii="Times New Roman" w:eastAsiaTheme="majorHAnsi" w:hAnsi="Times New Roman" w:cs="Times New Roman"/>
          <w:color w:val="auto"/>
        </w:rPr>
        <w:t xml:space="preserve"> across different fault classes. They also provide concrete evidence of how the method maintains consistency in explanatory quality while adapting to diverse diagnostic contexts.</w:t>
      </w:r>
    </w:p>
    <w:p w14:paraId="51BEC728" w14:textId="77777777" w:rsidR="00714E88" w:rsidRDefault="00000000">
      <w:pPr>
        <w:pStyle w:val="TSP52figure"/>
        <w:rPr>
          <w:rFonts w:eastAsia="Malgun Gothic"/>
          <w:lang w:eastAsia="ko-KR"/>
        </w:rPr>
      </w:pPr>
      <w:r>
        <w:rPr>
          <w:b/>
        </w:rPr>
        <w:t xml:space="preserve">Figure </w:t>
      </w:r>
      <w:r>
        <w:rPr>
          <w:rFonts w:eastAsiaTheme="minorEastAsia" w:hint="eastAsia"/>
          <w:b/>
          <w:lang w:eastAsia="ko-KR"/>
        </w:rPr>
        <w:t>S</w:t>
      </w:r>
      <w:r>
        <w:rPr>
          <w:rFonts w:eastAsia="Malgun Gothic" w:hint="eastAsia"/>
          <w:b/>
          <w:lang w:eastAsia="ko-KR"/>
        </w:rPr>
        <w:t>1</w:t>
      </w:r>
      <w:r>
        <w:rPr>
          <w:b/>
        </w:rPr>
        <w:t xml:space="preserve">: </w:t>
      </w:r>
      <w:r>
        <w:rPr>
          <w:rFonts w:eastAsia="Malgun Gothic" w:hint="eastAsia"/>
          <w:lang w:eastAsia="ko-KR"/>
        </w:rPr>
        <w:t xml:space="preserve">LIME plot of proposed method </w:t>
      </w:r>
      <w:r>
        <w:rPr>
          <w:rFonts w:eastAsia="Malgun Gothic"/>
          <w:lang w:eastAsia="ko-KR"/>
        </w:rPr>
        <w:t>–</w:t>
      </w:r>
      <w:r>
        <w:rPr>
          <w:rFonts w:eastAsia="Malgun Gothic" w:hint="eastAsia"/>
          <w:lang w:eastAsia="ko-KR"/>
        </w:rPr>
        <w:t xml:space="preserve"> classified as No Fault</w:t>
      </w:r>
    </w:p>
    <w:p w14:paraId="1EEB3BA6" w14:textId="77777777" w:rsidR="00714E88" w:rsidRDefault="00000000">
      <w:pPr>
        <w:pStyle w:val="TSP41tablecaption"/>
        <w:jc w:val="center"/>
      </w:pPr>
      <w:r>
        <w:rPr>
          <w:b/>
        </w:rPr>
        <w:t xml:space="preserve">Table </w:t>
      </w:r>
      <w:r>
        <w:rPr>
          <w:rFonts w:eastAsia="Malgun Gothic" w:hint="eastAsia"/>
          <w:b/>
          <w:lang w:eastAsia="ko-KR"/>
        </w:rPr>
        <w:t>S1</w:t>
      </w:r>
      <w:r>
        <w:rPr>
          <w:b/>
        </w:rPr>
        <w:t xml:space="preserve">: </w:t>
      </w:r>
      <w:r>
        <w:rPr>
          <w:rFonts w:eastAsia="Malgun Gothic" w:hint="eastAsia"/>
          <w:lang w:eastAsia="ko-KR"/>
        </w:rPr>
        <w:t>Interpretation of LIME analysis</w:t>
      </w:r>
      <w:r>
        <w:rPr>
          <w:rFonts w:eastAsia="Malgun Gothic"/>
          <w:lang w:eastAsia="ko-KR"/>
        </w:rPr>
        <w:t xml:space="preserve"> using the </w:t>
      </w:r>
      <w:r>
        <w:rPr>
          <w:rFonts w:eastAsia="Malgun Gothic" w:hint="eastAsia"/>
          <w:lang w:eastAsia="ko-KR"/>
        </w:rPr>
        <w:t>V</w:t>
      </w:r>
      <w:r>
        <w:rPr>
          <w:rFonts w:eastAsia="Malgun Gothic"/>
          <w:lang w:eastAsia="ko-KR"/>
        </w:rPr>
        <w:t>LM</w:t>
      </w:r>
      <w:r>
        <w:rPr>
          <w:rFonts w:eastAsia="Malgun Gothic" w:hint="eastAsia"/>
          <w:lang w:eastAsia="ko-KR"/>
        </w:rPr>
        <w:t xml:space="preserve"> </w:t>
      </w:r>
      <w:r>
        <w:rPr>
          <w:rFonts w:eastAsia="Malgun Gothic"/>
          <w:lang w:eastAsia="ko-KR"/>
        </w:rPr>
        <w:t>–</w:t>
      </w:r>
      <w:r>
        <w:rPr>
          <w:rFonts w:eastAsia="Malgun Gothic" w:hint="eastAsia"/>
          <w:lang w:eastAsia="ko-KR"/>
        </w:rPr>
        <w:t xml:space="preserve"> corresponding to Figure S1</w:t>
      </w:r>
    </w:p>
    <w:tbl>
      <w:tblPr>
        <w:tblW w:w="9361" w:type="dxa"/>
        <w:jc w:val="center"/>
        <w:tblBorders>
          <w:top w:val="single" w:sz="4" w:space="0" w:color="auto"/>
          <w:bottom w:val="single" w:sz="4" w:space="0" w:color="auto"/>
        </w:tblBorders>
        <w:tblLayout w:type="fixed"/>
        <w:tblCellMar>
          <w:left w:w="0" w:type="dxa"/>
          <w:right w:w="0" w:type="dxa"/>
        </w:tblCellMar>
        <w:tblLook w:val="04A0" w:firstRow="1" w:lastRow="0" w:firstColumn="1" w:lastColumn="0" w:noHBand="0" w:noVBand="1"/>
      </w:tblPr>
      <w:tblGrid>
        <w:gridCol w:w="9361"/>
      </w:tblGrid>
      <w:tr w:rsidR="00714E88" w14:paraId="058F7A0B" w14:textId="77777777">
        <w:trPr>
          <w:trHeight w:val="231"/>
          <w:jc w:val="center"/>
        </w:trPr>
        <w:tc>
          <w:tcPr>
            <w:tcW w:w="9361" w:type="dxa"/>
            <w:tcBorders>
              <w:top w:val="single" w:sz="4" w:space="0" w:color="auto"/>
              <w:bottom w:val="single" w:sz="4" w:space="0" w:color="auto"/>
            </w:tcBorders>
            <w:vAlign w:val="center"/>
          </w:tcPr>
          <w:p w14:paraId="415C1B48" w14:textId="77777777" w:rsidR="00714E88" w:rsidRDefault="00000000">
            <w:pPr>
              <w:pStyle w:val="TSP42tablebody"/>
              <w:rPr>
                <w:rFonts w:eastAsia="Malgun Gothic"/>
                <w:b/>
                <w:bCs/>
                <w:sz w:val="18"/>
                <w:szCs w:val="18"/>
                <w:lang w:eastAsia="ko-KR"/>
              </w:rPr>
            </w:pPr>
            <w:r>
              <w:rPr>
                <w:rFonts w:eastAsia="Malgun Gothic" w:hint="eastAsia"/>
                <w:b/>
                <w:bCs/>
                <w:sz w:val="18"/>
                <w:szCs w:val="18"/>
                <w:lang w:eastAsia="ko-KR"/>
              </w:rPr>
              <w:t>Result</w:t>
            </w:r>
          </w:p>
        </w:tc>
      </w:tr>
      <w:tr w:rsidR="00714E88" w14:paraId="746BA1D0" w14:textId="77777777">
        <w:trPr>
          <w:trHeight w:val="137"/>
          <w:jc w:val="center"/>
        </w:trPr>
        <w:tc>
          <w:tcPr>
            <w:tcW w:w="9361" w:type="dxa"/>
            <w:tcBorders>
              <w:top w:val="single" w:sz="4" w:space="0" w:color="auto"/>
              <w:bottom w:val="single" w:sz="4" w:space="0" w:color="auto"/>
            </w:tcBorders>
            <w:vAlign w:val="center"/>
          </w:tcPr>
          <w:p w14:paraId="6C49A626" w14:textId="77777777" w:rsidR="00714E88" w:rsidRDefault="00000000">
            <w:pPr>
              <w:pStyle w:val="TSP42tablebody"/>
              <w:jc w:val="both"/>
              <w:rPr>
                <w:b/>
                <w:bCs/>
                <w:sz w:val="18"/>
                <w:szCs w:val="18"/>
              </w:rPr>
            </w:pPr>
            <w:r>
              <w:rPr>
                <w:b/>
                <w:bCs/>
                <w:sz w:val="18"/>
                <w:szCs w:val="18"/>
              </w:rPr>
              <w:t xml:space="preserve">Local Explanation of LIME Output for Instance Classified as </w:t>
            </w:r>
            <w:r>
              <w:rPr>
                <w:b/>
                <w:bCs/>
                <w:i/>
                <w:iCs/>
                <w:sz w:val="18"/>
                <w:szCs w:val="18"/>
              </w:rPr>
              <w:t>No Fault</w:t>
            </w:r>
          </w:p>
          <w:p w14:paraId="6077FBCF" w14:textId="77777777" w:rsidR="00714E88" w:rsidRDefault="00000000">
            <w:pPr>
              <w:pStyle w:val="TSP42tablebody"/>
              <w:jc w:val="both"/>
              <w:rPr>
                <w:b/>
                <w:bCs/>
                <w:sz w:val="18"/>
                <w:szCs w:val="18"/>
              </w:rPr>
            </w:pPr>
            <w:r>
              <w:rPr>
                <w:b/>
                <w:bCs/>
                <w:sz w:val="18"/>
                <w:szCs w:val="18"/>
              </w:rPr>
              <w:t>1. Key Features</w:t>
            </w:r>
          </w:p>
          <w:p w14:paraId="760425B6" w14:textId="77777777" w:rsidR="00714E88" w:rsidRDefault="00000000" w:rsidP="00B1418D">
            <w:pPr>
              <w:pStyle w:val="TSP42tablebody"/>
              <w:numPr>
                <w:ilvl w:val="0"/>
                <w:numId w:val="5"/>
              </w:numPr>
              <w:jc w:val="both"/>
              <w:rPr>
                <w:sz w:val="18"/>
                <w:szCs w:val="18"/>
              </w:rPr>
            </w:pPr>
            <w:r>
              <w:rPr>
                <w:sz w:val="18"/>
                <w:szCs w:val="18"/>
              </w:rPr>
              <w:t xml:space="preserve">The LIME explanation indicates that the most influential features supporting the classification as </w:t>
            </w:r>
            <w:r>
              <w:rPr>
                <w:b/>
                <w:bCs/>
                <w:sz w:val="18"/>
                <w:szCs w:val="18"/>
              </w:rPr>
              <w:t>No Fault</w:t>
            </w:r>
            <w:r>
              <w:rPr>
                <w:sz w:val="18"/>
                <w:szCs w:val="18"/>
              </w:rPr>
              <w:t xml:space="preserve"> were related to fuel consumption and emission indicators:</w:t>
            </w:r>
          </w:p>
          <w:p w14:paraId="1827BE71" w14:textId="77777777" w:rsidR="00714E88" w:rsidRDefault="00000000" w:rsidP="00B1418D">
            <w:pPr>
              <w:pStyle w:val="TSP42tablebody"/>
              <w:numPr>
                <w:ilvl w:val="0"/>
                <w:numId w:val="5"/>
              </w:numPr>
              <w:jc w:val="both"/>
              <w:rPr>
                <w:sz w:val="18"/>
                <w:szCs w:val="18"/>
              </w:rPr>
            </w:pPr>
            <w:r>
              <w:rPr>
                <w:b/>
                <w:bCs/>
                <w:sz w:val="18"/>
                <w:szCs w:val="18"/>
              </w:rPr>
              <w:t>Consumption L/100KM &gt; 0.32</w:t>
            </w:r>
            <w:r>
              <w:rPr>
                <w:sz w:val="18"/>
                <w:szCs w:val="18"/>
              </w:rPr>
              <w:t xml:space="preserve"> contributed strongly and positively (</w:t>
            </w:r>
            <w:r>
              <w:rPr>
                <w:b/>
                <w:bCs/>
                <w:sz w:val="18"/>
                <w:szCs w:val="18"/>
              </w:rPr>
              <w:t>+0.33</w:t>
            </w:r>
            <w:r>
              <w:rPr>
                <w:sz w:val="18"/>
                <w:szCs w:val="18"/>
              </w:rPr>
              <w:t xml:space="preserve">) toward the </w:t>
            </w:r>
            <w:r>
              <w:rPr>
                <w:i/>
                <w:iCs/>
                <w:sz w:val="18"/>
                <w:szCs w:val="18"/>
              </w:rPr>
              <w:t>No Fault</w:t>
            </w:r>
            <w:r>
              <w:rPr>
                <w:sz w:val="18"/>
                <w:szCs w:val="18"/>
              </w:rPr>
              <w:t xml:space="preserve"> class.</w:t>
            </w:r>
          </w:p>
          <w:p w14:paraId="47C1AA53" w14:textId="77777777" w:rsidR="00714E88" w:rsidRDefault="00000000" w:rsidP="00B1418D">
            <w:pPr>
              <w:pStyle w:val="TSP42tablebody"/>
              <w:numPr>
                <w:ilvl w:val="0"/>
                <w:numId w:val="5"/>
              </w:numPr>
              <w:jc w:val="both"/>
              <w:rPr>
                <w:sz w:val="18"/>
                <w:szCs w:val="18"/>
              </w:rPr>
            </w:pPr>
            <w:r>
              <w:rPr>
                <w:b/>
                <w:bCs/>
                <w:sz w:val="18"/>
                <w:szCs w:val="18"/>
              </w:rPr>
              <w:t>CO &gt; 0.21</w:t>
            </w:r>
            <w:r>
              <w:rPr>
                <w:sz w:val="18"/>
                <w:szCs w:val="18"/>
              </w:rPr>
              <w:t xml:space="preserve"> also supported the decision with a significant positive weight (</w:t>
            </w:r>
            <w:r>
              <w:rPr>
                <w:b/>
                <w:bCs/>
                <w:sz w:val="18"/>
                <w:szCs w:val="18"/>
              </w:rPr>
              <w:t>+0.28</w:t>
            </w:r>
            <w:r>
              <w:rPr>
                <w:sz w:val="18"/>
                <w:szCs w:val="18"/>
              </w:rPr>
              <w:t>).</w:t>
            </w:r>
          </w:p>
          <w:p w14:paraId="6BB0119C" w14:textId="77777777" w:rsidR="00714E88" w:rsidRDefault="00000000" w:rsidP="00B1418D">
            <w:pPr>
              <w:pStyle w:val="TSP42tablebody"/>
              <w:numPr>
                <w:ilvl w:val="0"/>
                <w:numId w:val="5"/>
              </w:numPr>
              <w:jc w:val="both"/>
              <w:rPr>
                <w:sz w:val="18"/>
                <w:szCs w:val="18"/>
              </w:rPr>
            </w:pPr>
            <w:r>
              <w:rPr>
                <w:b/>
                <w:bCs/>
                <w:sz w:val="18"/>
                <w:szCs w:val="18"/>
              </w:rPr>
              <w:t>Force &gt; 0.17</w:t>
            </w:r>
            <w:r>
              <w:rPr>
                <w:sz w:val="18"/>
                <w:szCs w:val="18"/>
              </w:rPr>
              <w:t xml:space="preserve"> and </w:t>
            </w:r>
            <w:r>
              <w:rPr>
                <w:b/>
                <w:bCs/>
                <w:sz w:val="18"/>
                <w:szCs w:val="18"/>
              </w:rPr>
              <w:t>0.15 &lt; Consumption L/H ≤ 0.25</w:t>
            </w:r>
            <w:r>
              <w:rPr>
                <w:sz w:val="18"/>
                <w:szCs w:val="18"/>
              </w:rPr>
              <w:t xml:space="preserve"> provided additional positive contributions (</w:t>
            </w:r>
            <w:r>
              <w:rPr>
                <w:b/>
                <w:bCs/>
                <w:sz w:val="18"/>
                <w:szCs w:val="18"/>
              </w:rPr>
              <w:t>+0.07</w:t>
            </w:r>
            <w:r>
              <w:rPr>
                <w:sz w:val="18"/>
                <w:szCs w:val="18"/>
              </w:rPr>
              <w:t xml:space="preserve"> and </w:t>
            </w:r>
            <w:r>
              <w:rPr>
                <w:b/>
                <w:bCs/>
                <w:sz w:val="18"/>
                <w:szCs w:val="18"/>
              </w:rPr>
              <w:t>+0.06</w:t>
            </w:r>
            <w:r>
              <w:rPr>
                <w:sz w:val="18"/>
                <w:szCs w:val="18"/>
              </w:rPr>
              <w:t>, respectively).</w:t>
            </w:r>
          </w:p>
          <w:p w14:paraId="5CA0773F" w14:textId="77777777" w:rsidR="00714E88" w:rsidRDefault="00000000" w:rsidP="00B1418D">
            <w:pPr>
              <w:pStyle w:val="TSP42tablebody"/>
              <w:numPr>
                <w:ilvl w:val="0"/>
                <w:numId w:val="5"/>
              </w:numPr>
              <w:jc w:val="both"/>
              <w:rPr>
                <w:sz w:val="18"/>
                <w:szCs w:val="18"/>
              </w:rPr>
            </w:pPr>
            <w:r>
              <w:rPr>
                <w:b/>
                <w:bCs/>
                <w:sz w:val="18"/>
                <w:szCs w:val="18"/>
              </w:rPr>
              <w:t>HC &gt; 0.21</w:t>
            </w:r>
            <w:r>
              <w:rPr>
                <w:sz w:val="18"/>
                <w:szCs w:val="18"/>
              </w:rPr>
              <w:t xml:space="preserve"> contributed positively, though modestly (</w:t>
            </w:r>
            <w:r>
              <w:rPr>
                <w:b/>
                <w:bCs/>
                <w:sz w:val="18"/>
                <w:szCs w:val="18"/>
              </w:rPr>
              <w:t>+0.04</w:t>
            </w:r>
            <w:r>
              <w:rPr>
                <w:sz w:val="18"/>
                <w:szCs w:val="18"/>
              </w:rPr>
              <w:t>).</w:t>
            </w:r>
          </w:p>
          <w:p w14:paraId="130B832E" w14:textId="77777777" w:rsidR="00714E88" w:rsidRDefault="00000000" w:rsidP="00B1418D">
            <w:pPr>
              <w:pStyle w:val="TSP42tablebody"/>
              <w:numPr>
                <w:ilvl w:val="0"/>
                <w:numId w:val="5"/>
              </w:numPr>
              <w:jc w:val="both"/>
              <w:rPr>
                <w:sz w:val="18"/>
                <w:szCs w:val="18"/>
              </w:rPr>
            </w:pPr>
            <w:r>
              <w:rPr>
                <w:sz w:val="18"/>
                <w:szCs w:val="18"/>
              </w:rPr>
              <w:t>Conversely, several features exerted negative influence, albeit with smaller magnitudes:</w:t>
            </w:r>
          </w:p>
          <w:p w14:paraId="3BB446A4" w14:textId="77777777" w:rsidR="00714E88" w:rsidRDefault="00000000" w:rsidP="00B1418D">
            <w:pPr>
              <w:pStyle w:val="TSP42tablebody"/>
              <w:numPr>
                <w:ilvl w:val="0"/>
                <w:numId w:val="6"/>
              </w:numPr>
              <w:jc w:val="both"/>
              <w:rPr>
                <w:sz w:val="18"/>
                <w:szCs w:val="18"/>
              </w:rPr>
            </w:pPr>
            <w:r>
              <w:rPr>
                <w:b/>
                <w:bCs/>
                <w:sz w:val="18"/>
                <w:szCs w:val="18"/>
              </w:rPr>
              <w:t>Power &gt; 0.12</w:t>
            </w:r>
            <w:r>
              <w:rPr>
                <w:sz w:val="18"/>
                <w:szCs w:val="18"/>
              </w:rPr>
              <w:t xml:space="preserve"> (–0.11),</w:t>
            </w:r>
          </w:p>
          <w:p w14:paraId="0E06CDA2" w14:textId="77777777" w:rsidR="00714E88" w:rsidRDefault="00000000" w:rsidP="00B1418D">
            <w:pPr>
              <w:pStyle w:val="TSP42tablebody"/>
              <w:numPr>
                <w:ilvl w:val="0"/>
                <w:numId w:val="6"/>
              </w:numPr>
              <w:jc w:val="both"/>
              <w:rPr>
                <w:sz w:val="18"/>
                <w:szCs w:val="18"/>
              </w:rPr>
            </w:pPr>
            <w:r>
              <w:rPr>
                <w:b/>
                <w:bCs/>
                <w:sz w:val="18"/>
                <w:szCs w:val="18"/>
              </w:rPr>
              <w:t>0.22 &lt; O₂ ≤ 0.35</w:t>
            </w:r>
            <w:r>
              <w:rPr>
                <w:sz w:val="18"/>
                <w:szCs w:val="18"/>
              </w:rPr>
              <w:t xml:space="preserve"> (–0.03),</w:t>
            </w:r>
          </w:p>
          <w:p w14:paraId="360B8157" w14:textId="77777777" w:rsidR="00714E88" w:rsidRDefault="00000000" w:rsidP="00B1418D">
            <w:pPr>
              <w:pStyle w:val="TSP42tablebody"/>
              <w:numPr>
                <w:ilvl w:val="0"/>
                <w:numId w:val="6"/>
              </w:numPr>
              <w:jc w:val="both"/>
              <w:rPr>
                <w:sz w:val="18"/>
                <w:szCs w:val="18"/>
              </w:rPr>
            </w:pPr>
            <w:r>
              <w:rPr>
                <w:b/>
                <w:bCs/>
                <w:sz w:val="18"/>
                <w:szCs w:val="18"/>
              </w:rPr>
              <w:t>TPS &gt; 0.24</w:t>
            </w:r>
            <w:r>
              <w:rPr>
                <w:sz w:val="18"/>
                <w:szCs w:val="18"/>
              </w:rPr>
              <w:t xml:space="preserve"> (–0.02),</w:t>
            </w:r>
          </w:p>
          <w:p w14:paraId="726DB700" w14:textId="77777777" w:rsidR="00714E88" w:rsidRDefault="00000000" w:rsidP="00B1418D">
            <w:pPr>
              <w:pStyle w:val="TSP42tablebody"/>
              <w:numPr>
                <w:ilvl w:val="0"/>
                <w:numId w:val="6"/>
              </w:numPr>
              <w:jc w:val="both"/>
              <w:rPr>
                <w:sz w:val="18"/>
                <w:szCs w:val="18"/>
              </w:rPr>
            </w:pPr>
            <w:r>
              <w:rPr>
                <w:b/>
                <w:bCs/>
                <w:sz w:val="18"/>
                <w:szCs w:val="18"/>
              </w:rPr>
              <w:lastRenderedPageBreak/>
              <w:t>RPM ≤ 0.19</w:t>
            </w:r>
            <w:r>
              <w:rPr>
                <w:sz w:val="18"/>
                <w:szCs w:val="18"/>
              </w:rPr>
              <w:t xml:space="preserve"> (–0.01).</w:t>
            </w:r>
          </w:p>
          <w:p w14:paraId="76127761" w14:textId="77777777" w:rsidR="00714E88" w:rsidRDefault="00000000" w:rsidP="00B1418D">
            <w:pPr>
              <w:pStyle w:val="TSP42tablebody"/>
              <w:numPr>
                <w:ilvl w:val="0"/>
                <w:numId w:val="5"/>
              </w:numPr>
              <w:jc w:val="both"/>
              <w:rPr>
                <w:sz w:val="18"/>
                <w:szCs w:val="18"/>
              </w:rPr>
            </w:pPr>
            <w:r>
              <w:rPr>
                <w:sz w:val="18"/>
                <w:szCs w:val="18"/>
              </w:rPr>
              <w:t xml:space="preserve">These counteracting factors suggest that while some engine load and oxygen sensor conditions partially contradicted the </w:t>
            </w:r>
            <w:r>
              <w:rPr>
                <w:i/>
                <w:iCs/>
                <w:sz w:val="18"/>
                <w:szCs w:val="18"/>
              </w:rPr>
              <w:t>No Fault</w:t>
            </w:r>
            <w:r>
              <w:rPr>
                <w:sz w:val="18"/>
                <w:szCs w:val="18"/>
              </w:rPr>
              <w:t xml:space="preserve"> classification, they were outweighed by dominant consumption and CO indicators.</w:t>
            </w:r>
          </w:p>
          <w:p w14:paraId="3D7AB229" w14:textId="77777777" w:rsidR="00714E88" w:rsidRDefault="00000000">
            <w:pPr>
              <w:pStyle w:val="TSP42tablebody"/>
              <w:jc w:val="both"/>
              <w:rPr>
                <w:b/>
                <w:bCs/>
                <w:sz w:val="18"/>
                <w:szCs w:val="18"/>
              </w:rPr>
            </w:pPr>
            <w:r>
              <w:rPr>
                <w:b/>
                <w:bCs/>
                <w:sz w:val="18"/>
                <w:szCs w:val="18"/>
              </w:rPr>
              <w:t>2. Feature Prioritization</w:t>
            </w:r>
          </w:p>
          <w:p w14:paraId="2711945B" w14:textId="77777777" w:rsidR="00714E88" w:rsidRDefault="00000000" w:rsidP="00B1418D">
            <w:pPr>
              <w:pStyle w:val="TSP42tablebody"/>
              <w:numPr>
                <w:ilvl w:val="0"/>
                <w:numId w:val="5"/>
              </w:numPr>
              <w:jc w:val="both"/>
              <w:rPr>
                <w:sz w:val="18"/>
                <w:szCs w:val="18"/>
              </w:rPr>
            </w:pPr>
            <w:r>
              <w:rPr>
                <w:sz w:val="18"/>
                <w:szCs w:val="18"/>
              </w:rPr>
              <w:t xml:space="preserve">The model locally prioritized </w:t>
            </w:r>
            <w:r>
              <w:rPr>
                <w:b/>
                <w:bCs/>
                <w:sz w:val="18"/>
                <w:szCs w:val="18"/>
              </w:rPr>
              <w:t>fuel consumption metrics</w:t>
            </w:r>
            <w:r>
              <w:rPr>
                <w:sz w:val="18"/>
                <w:szCs w:val="18"/>
              </w:rPr>
              <w:t xml:space="preserve"> and </w:t>
            </w:r>
            <w:r>
              <w:rPr>
                <w:b/>
                <w:bCs/>
                <w:sz w:val="18"/>
                <w:szCs w:val="18"/>
              </w:rPr>
              <w:t>CO concentration</w:t>
            </w:r>
            <w:r>
              <w:rPr>
                <w:sz w:val="18"/>
                <w:szCs w:val="18"/>
              </w:rPr>
              <w:t xml:space="preserve"> as decisive signals for normal engine behavior. The strong positive contributions of </w:t>
            </w:r>
            <w:r>
              <w:rPr>
                <w:i/>
                <w:iCs/>
                <w:sz w:val="18"/>
                <w:szCs w:val="18"/>
              </w:rPr>
              <w:t>Consumption L/100KM</w:t>
            </w:r>
            <w:r>
              <w:rPr>
                <w:sz w:val="18"/>
                <w:szCs w:val="18"/>
              </w:rPr>
              <w:t xml:space="preserve"> and </w:t>
            </w:r>
            <w:r>
              <w:rPr>
                <w:i/>
                <w:iCs/>
                <w:sz w:val="18"/>
                <w:szCs w:val="18"/>
              </w:rPr>
              <w:t>CO</w:t>
            </w:r>
            <w:r>
              <w:rPr>
                <w:sz w:val="18"/>
                <w:szCs w:val="18"/>
              </w:rPr>
              <w:t xml:space="preserve"> suggest that in this instance, their observed values aligned closely with the statistical profile of a fault-free engine condition. Force and hourly fuel consumption (L/H) also provided reinforcing evidence, albeit to a lesser extent.</w:t>
            </w:r>
          </w:p>
          <w:p w14:paraId="68752925" w14:textId="77777777" w:rsidR="00714E88" w:rsidRDefault="00000000" w:rsidP="00B1418D">
            <w:pPr>
              <w:pStyle w:val="TSP42tablebody"/>
              <w:numPr>
                <w:ilvl w:val="0"/>
                <w:numId w:val="5"/>
              </w:numPr>
              <w:jc w:val="both"/>
              <w:rPr>
                <w:sz w:val="18"/>
                <w:szCs w:val="18"/>
              </w:rPr>
            </w:pPr>
            <w:r>
              <w:rPr>
                <w:sz w:val="18"/>
                <w:szCs w:val="18"/>
              </w:rPr>
              <w:t xml:space="preserve">Negative influences such as </w:t>
            </w:r>
            <w:r>
              <w:rPr>
                <w:i/>
                <w:iCs/>
                <w:sz w:val="18"/>
                <w:szCs w:val="18"/>
              </w:rPr>
              <w:t>Power</w:t>
            </w:r>
            <w:r>
              <w:rPr>
                <w:sz w:val="18"/>
                <w:szCs w:val="18"/>
              </w:rPr>
              <w:t xml:space="preserve"> and </w:t>
            </w:r>
            <w:r>
              <w:rPr>
                <w:i/>
                <w:iCs/>
                <w:sz w:val="18"/>
                <w:szCs w:val="18"/>
              </w:rPr>
              <w:t>O₂</w:t>
            </w:r>
            <w:r>
              <w:rPr>
                <w:sz w:val="18"/>
                <w:szCs w:val="18"/>
              </w:rPr>
              <w:t xml:space="preserve"> reflect subtle deviations from the expected normal state, but their relatively smaller magnitudes indicate that they did not significantly disrupt the model’s decision confidence.</w:t>
            </w:r>
          </w:p>
          <w:p w14:paraId="71B85238" w14:textId="77777777" w:rsidR="00714E88" w:rsidRDefault="00000000">
            <w:pPr>
              <w:pStyle w:val="TSP42tablebody"/>
              <w:jc w:val="both"/>
              <w:rPr>
                <w:b/>
                <w:bCs/>
                <w:sz w:val="18"/>
                <w:szCs w:val="18"/>
              </w:rPr>
            </w:pPr>
            <w:r>
              <w:rPr>
                <w:b/>
                <w:bCs/>
                <w:sz w:val="18"/>
                <w:szCs w:val="18"/>
              </w:rPr>
              <w:t>3. Low-Impact Features</w:t>
            </w:r>
          </w:p>
          <w:p w14:paraId="4737301F" w14:textId="77777777" w:rsidR="00714E88" w:rsidRDefault="00000000" w:rsidP="00B1418D">
            <w:pPr>
              <w:pStyle w:val="TSP42tablebody"/>
              <w:numPr>
                <w:ilvl w:val="0"/>
                <w:numId w:val="5"/>
              </w:numPr>
              <w:jc w:val="both"/>
              <w:rPr>
                <w:sz w:val="18"/>
                <w:szCs w:val="18"/>
              </w:rPr>
            </w:pPr>
            <w:r>
              <w:rPr>
                <w:sz w:val="18"/>
                <w:szCs w:val="18"/>
              </w:rPr>
              <w:t xml:space="preserve">Features such as </w:t>
            </w:r>
            <w:r>
              <w:rPr>
                <w:b/>
                <w:bCs/>
                <w:sz w:val="18"/>
                <w:szCs w:val="18"/>
              </w:rPr>
              <w:t>MAP (&gt; 0.36, +0.02)</w:t>
            </w:r>
            <w:r>
              <w:rPr>
                <w:sz w:val="18"/>
                <w:szCs w:val="18"/>
              </w:rPr>
              <w:t xml:space="preserve">, </w:t>
            </w:r>
            <w:r>
              <w:rPr>
                <w:b/>
                <w:bCs/>
                <w:sz w:val="18"/>
                <w:szCs w:val="18"/>
              </w:rPr>
              <w:t>TPS (&gt; 0.24, –0.02)</w:t>
            </w:r>
            <w:r>
              <w:rPr>
                <w:sz w:val="18"/>
                <w:szCs w:val="18"/>
              </w:rPr>
              <w:t xml:space="preserve">, and </w:t>
            </w:r>
            <w:r>
              <w:rPr>
                <w:b/>
                <w:bCs/>
                <w:sz w:val="18"/>
                <w:szCs w:val="18"/>
              </w:rPr>
              <w:t>RPM (≤ 0.19, –0.01)</w:t>
            </w:r>
            <w:r>
              <w:rPr>
                <w:sz w:val="18"/>
                <w:szCs w:val="18"/>
              </w:rPr>
              <w:t xml:space="preserve"> exhibited near-zero contributions. Their limited influence likely stems from the fact that their values, although slightly deviating, remain within tolerable statistical ranges and do not decisively signal abnormality in this localized context. These features therefore acted as minor contextual variables without altering the overall diagnostic conclusion.</w:t>
            </w:r>
          </w:p>
          <w:p w14:paraId="2B3DDFD1" w14:textId="77777777" w:rsidR="00714E88" w:rsidRDefault="00000000">
            <w:pPr>
              <w:pStyle w:val="TSP42tablebody"/>
              <w:jc w:val="both"/>
              <w:rPr>
                <w:b/>
                <w:bCs/>
                <w:sz w:val="18"/>
                <w:szCs w:val="18"/>
              </w:rPr>
            </w:pPr>
            <w:r>
              <w:rPr>
                <w:b/>
                <w:bCs/>
                <w:sz w:val="18"/>
                <w:szCs w:val="18"/>
              </w:rPr>
              <w:t>4. Decision Logic</w:t>
            </w:r>
          </w:p>
          <w:p w14:paraId="7FC0247F" w14:textId="77777777" w:rsidR="00714E88" w:rsidRDefault="00000000" w:rsidP="00B1418D">
            <w:pPr>
              <w:pStyle w:val="TSP42tablebody"/>
              <w:numPr>
                <w:ilvl w:val="0"/>
                <w:numId w:val="5"/>
              </w:numPr>
              <w:jc w:val="both"/>
              <w:rPr>
                <w:sz w:val="18"/>
                <w:szCs w:val="18"/>
              </w:rPr>
            </w:pPr>
            <w:r>
              <w:rPr>
                <w:sz w:val="18"/>
                <w:szCs w:val="18"/>
              </w:rPr>
              <w:t>The decision-making process reflected in the LIME path can be logically interpreted as follows:</w:t>
            </w:r>
          </w:p>
          <w:p w14:paraId="09451899" w14:textId="77777777" w:rsidR="00714E88" w:rsidRDefault="00000000" w:rsidP="00B1418D">
            <w:pPr>
              <w:pStyle w:val="TSP42tablebody"/>
              <w:numPr>
                <w:ilvl w:val="0"/>
                <w:numId w:val="7"/>
              </w:numPr>
              <w:jc w:val="both"/>
              <w:rPr>
                <w:sz w:val="18"/>
                <w:szCs w:val="18"/>
              </w:rPr>
            </w:pPr>
            <w:r>
              <w:rPr>
                <w:b/>
                <w:bCs/>
                <w:sz w:val="18"/>
                <w:szCs w:val="18"/>
              </w:rPr>
              <w:t>Primary drivers</w:t>
            </w:r>
            <w:r>
              <w:rPr>
                <w:sz w:val="18"/>
                <w:szCs w:val="18"/>
              </w:rPr>
              <w:t xml:space="preserve"> – The model anchored its classification on </w:t>
            </w:r>
            <w:r>
              <w:rPr>
                <w:i/>
                <w:iCs/>
                <w:sz w:val="18"/>
                <w:szCs w:val="18"/>
              </w:rPr>
              <w:t>fuel consumption per distance (L/100KM)</w:t>
            </w:r>
            <w:r>
              <w:rPr>
                <w:sz w:val="18"/>
                <w:szCs w:val="18"/>
              </w:rPr>
              <w:t xml:space="preserve"> and </w:t>
            </w:r>
            <w:r>
              <w:rPr>
                <w:i/>
                <w:iCs/>
                <w:sz w:val="18"/>
                <w:szCs w:val="18"/>
              </w:rPr>
              <w:t>CO concentration</w:t>
            </w:r>
            <w:r>
              <w:rPr>
                <w:sz w:val="18"/>
                <w:szCs w:val="18"/>
              </w:rPr>
              <w:t xml:space="preserve">, both of which strongly supported the </w:t>
            </w:r>
            <w:r>
              <w:rPr>
                <w:i/>
                <w:iCs/>
                <w:sz w:val="18"/>
                <w:szCs w:val="18"/>
              </w:rPr>
              <w:t>No Fault</w:t>
            </w:r>
            <w:r>
              <w:rPr>
                <w:sz w:val="18"/>
                <w:szCs w:val="18"/>
              </w:rPr>
              <w:t xml:space="preserve"> label.</w:t>
            </w:r>
          </w:p>
          <w:p w14:paraId="3ACD4DD2" w14:textId="77777777" w:rsidR="00714E88" w:rsidRDefault="00000000" w:rsidP="00B1418D">
            <w:pPr>
              <w:pStyle w:val="TSP42tablebody"/>
              <w:numPr>
                <w:ilvl w:val="0"/>
                <w:numId w:val="7"/>
              </w:numPr>
              <w:jc w:val="both"/>
              <w:rPr>
                <w:sz w:val="18"/>
                <w:szCs w:val="18"/>
              </w:rPr>
            </w:pPr>
            <w:r>
              <w:rPr>
                <w:b/>
                <w:bCs/>
                <w:sz w:val="18"/>
                <w:szCs w:val="18"/>
              </w:rPr>
              <w:t>Reinforcement factors</w:t>
            </w:r>
            <w:r>
              <w:rPr>
                <w:sz w:val="18"/>
                <w:szCs w:val="18"/>
              </w:rPr>
              <w:t xml:space="preserve"> – Positive but moderate contributions from </w:t>
            </w:r>
            <w:r>
              <w:rPr>
                <w:i/>
                <w:iCs/>
                <w:sz w:val="18"/>
                <w:szCs w:val="18"/>
              </w:rPr>
              <w:t>Force</w:t>
            </w:r>
            <w:r>
              <w:rPr>
                <w:sz w:val="18"/>
                <w:szCs w:val="18"/>
              </w:rPr>
              <w:t xml:space="preserve"> and </w:t>
            </w:r>
            <w:r>
              <w:rPr>
                <w:i/>
                <w:iCs/>
                <w:sz w:val="18"/>
                <w:szCs w:val="18"/>
              </w:rPr>
              <w:t>Consumption L/H</w:t>
            </w:r>
            <w:r>
              <w:rPr>
                <w:sz w:val="18"/>
                <w:szCs w:val="18"/>
              </w:rPr>
              <w:t xml:space="preserve"> added confidence by aligning with normal operating ranges of engine torque and efficiency.</w:t>
            </w:r>
          </w:p>
          <w:p w14:paraId="712F3984" w14:textId="77777777" w:rsidR="00714E88" w:rsidRDefault="00000000" w:rsidP="00B1418D">
            <w:pPr>
              <w:pStyle w:val="TSP42tablebody"/>
              <w:numPr>
                <w:ilvl w:val="0"/>
                <w:numId w:val="7"/>
              </w:numPr>
              <w:jc w:val="both"/>
              <w:rPr>
                <w:sz w:val="18"/>
                <w:szCs w:val="18"/>
              </w:rPr>
            </w:pPr>
            <w:r>
              <w:rPr>
                <w:b/>
                <w:bCs/>
                <w:sz w:val="18"/>
                <w:szCs w:val="18"/>
              </w:rPr>
              <w:t>Counteracting signals</w:t>
            </w:r>
            <w:r>
              <w:rPr>
                <w:sz w:val="18"/>
                <w:szCs w:val="18"/>
              </w:rPr>
              <w:t xml:space="preserve"> – Slight negative contributions from </w:t>
            </w:r>
            <w:r>
              <w:rPr>
                <w:i/>
                <w:iCs/>
                <w:sz w:val="18"/>
                <w:szCs w:val="18"/>
              </w:rPr>
              <w:t>Power</w:t>
            </w:r>
            <w:r>
              <w:rPr>
                <w:sz w:val="18"/>
                <w:szCs w:val="18"/>
              </w:rPr>
              <w:t xml:space="preserve">, </w:t>
            </w:r>
            <w:r>
              <w:rPr>
                <w:i/>
                <w:iCs/>
                <w:sz w:val="18"/>
                <w:szCs w:val="18"/>
              </w:rPr>
              <w:t>O₂</w:t>
            </w:r>
            <w:r>
              <w:rPr>
                <w:sz w:val="18"/>
                <w:szCs w:val="18"/>
              </w:rPr>
              <w:t xml:space="preserve">, and </w:t>
            </w:r>
            <w:r>
              <w:rPr>
                <w:i/>
                <w:iCs/>
                <w:sz w:val="18"/>
                <w:szCs w:val="18"/>
              </w:rPr>
              <w:t>TPS</w:t>
            </w:r>
            <w:r>
              <w:rPr>
                <w:sz w:val="18"/>
                <w:szCs w:val="18"/>
              </w:rPr>
              <w:t xml:space="preserve"> suggested minor deviations that could be indicative of early fault tendencies, but their weak magnitudes were insufficient to override the strong normality cues.</w:t>
            </w:r>
          </w:p>
          <w:p w14:paraId="3BBE810D" w14:textId="77777777" w:rsidR="00714E88" w:rsidRDefault="00000000" w:rsidP="00B1418D">
            <w:pPr>
              <w:pStyle w:val="TSP42tablebody"/>
              <w:numPr>
                <w:ilvl w:val="0"/>
                <w:numId w:val="7"/>
              </w:numPr>
              <w:jc w:val="both"/>
              <w:rPr>
                <w:sz w:val="18"/>
                <w:szCs w:val="18"/>
              </w:rPr>
            </w:pPr>
            <w:r>
              <w:rPr>
                <w:b/>
                <w:bCs/>
                <w:sz w:val="18"/>
                <w:szCs w:val="18"/>
              </w:rPr>
              <w:t>Net outcome</w:t>
            </w:r>
            <w:r>
              <w:rPr>
                <w:sz w:val="18"/>
                <w:szCs w:val="18"/>
              </w:rPr>
              <w:t xml:space="preserve"> – The cumulative effect of dominant positive signals decisively outweighed the weaker negative influences, resulting in a prediction of </w:t>
            </w:r>
            <w:r>
              <w:rPr>
                <w:b/>
                <w:bCs/>
                <w:sz w:val="18"/>
                <w:szCs w:val="18"/>
              </w:rPr>
              <w:t>No Fault</w:t>
            </w:r>
            <w:r>
              <w:rPr>
                <w:sz w:val="18"/>
                <w:szCs w:val="18"/>
              </w:rPr>
              <w:t xml:space="preserve"> with maximum probability (1.00).</w:t>
            </w:r>
          </w:p>
          <w:p w14:paraId="1669B28E" w14:textId="77777777" w:rsidR="00714E88" w:rsidRDefault="00000000">
            <w:pPr>
              <w:pStyle w:val="TSP42tablebody"/>
              <w:jc w:val="both"/>
              <w:rPr>
                <w:b/>
                <w:bCs/>
                <w:sz w:val="18"/>
                <w:szCs w:val="18"/>
              </w:rPr>
            </w:pPr>
            <w:r>
              <w:rPr>
                <w:b/>
                <w:bCs/>
                <w:sz w:val="18"/>
                <w:szCs w:val="18"/>
              </w:rPr>
              <w:t>Conclusion</w:t>
            </w:r>
          </w:p>
          <w:p w14:paraId="6FF3BB76" w14:textId="77777777" w:rsidR="00714E88" w:rsidRDefault="00000000" w:rsidP="00B1418D">
            <w:pPr>
              <w:pStyle w:val="TSP42tablebody"/>
              <w:numPr>
                <w:ilvl w:val="0"/>
                <w:numId w:val="5"/>
              </w:numPr>
              <w:jc w:val="both"/>
              <w:rPr>
                <w:sz w:val="18"/>
                <w:szCs w:val="18"/>
              </w:rPr>
            </w:pPr>
            <w:r>
              <w:rPr>
                <w:sz w:val="18"/>
                <w:szCs w:val="18"/>
              </w:rPr>
              <w:t xml:space="preserve">The local interpretability analysis demonstrates that the classifier relied primarily on fuel consumption and CO emission parameters to validate a normal operational state in this instance. Although some secondary features hinted at potential anomalies, their limited local impact confirms the robustness of the </w:t>
            </w:r>
            <w:r>
              <w:rPr>
                <w:i/>
                <w:iCs/>
                <w:sz w:val="18"/>
                <w:szCs w:val="18"/>
              </w:rPr>
              <w:t>No Fault</w:t>
            </w:r>
            <w:r>
              <w:rPr>
                <w:sz w:val="18"/>
                <w:szCs w:val="18"/>
              </w:rPr>
              <w:t xml:space="preserve"> classification. This analysis underscores the capacity of LIME to reveal how specific sensor readings collectively shaped the model’s diagnostic reasoning at the instance level.</w:t>
            </w:r>
          </w:p>
        </w:tc>
      </w:tr>
    </w:tbl>
    <w:p w14:paraId="602BA3D1" w14:textId="77777777" w:rsidR="00714E88" w:rsidRDefault="00000000">
      <w:pPr>
        <w:pStyle w:val="a"/>
        <w:spacing w:before="240" w:line="276" w:lineRule="auto"/>
        <w:rPr>
          <w:rFonts w:ascii="Times New Roman" w:eastAsiaTheme="majorHAnsi" w:hAnsi="Times New Roman" w:cs="Times New Roman"/>
        </w:rPr>
      </w:pPr>
      <w:r>
        <w:rPr>
          <w:rFonts w:ascii="Times New Roman" w:eastAsiaTheme="majorHAnsi" w:hAnsi="Times New Roman" w:cs="Times New Roman"/>
          <w:noProof/>
        </w:rPr>
        <w:lastRenderedPageBreak/>
        <w:drawing>
          <wp:inline distT="0" distB="0" distL="0" distR="0" wp14:anchorId="2C97147F" wp14:editId="3AFA138B">
            <wp:extent cx="5731510" cy="4360545"/>
            <wp:effectExtent l="0" t="0" r="2540" b="1905"/>
            <wp:docPr id="1835672509" name="그림 12" descr="텍스트, 스크린샷, 번호, 폰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672509" name="그림 12" descr="텍스트, 스크린샷, 번호, 폰트이(가) 표시된 사진&#10;&#10;AI 생성 콘텐츠는 정확하지 않을 수 있습니다."/>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31510" cy="4360545"/>
                    </a:xfrm>
                    <a:prstGeom prst="rect">
                      <a:avLst/>
                    </a:prstGeom>
                    <a:noFill/>
                    <a:ln>
                      <a:noFill/>
                    </a:ln>
                  </pic:spPr>
                </pic:pic>
              </a:graphicData>
            </a:graphic>
          </wp:inline>
        </w:drawing>
      </w:r>
    </w:p>
    <w:p w14:paraId="0538817D" w14:textId="77777777" w:rsidR="00714E88" w:rsidRDefault="00000000">
      <w:pPr>
        <w:pStyle w:val="TSP52figure"/>
        <w:rPr>
          <w:rFonts w:eastAsia="Malgun Gothic"/>
          <w:lang w:eastAsia="ko-KR"/>
        </w:rPr>
      </w:pPr>
      <w:r>
        <w:rPr>
          <w:b/>
        </w:rPr>
        <w:t xml:space="preserve">Figure </w:t>
      </w:r>
      <w:r>
        <w:rPr>
          <w:rFonts w:eastAsiaTheme="minorEastAsia" w:hint="eastAsia"/>
          <w:b/>
          <w:lang w:eastAsia="ko-KR"/>
        </w:rPr>
        <w:t>S</w:t>
      </w:r>
      <w:r>
        <w:rPr>
          <w:rFonts w:eastAsia="Malgun Gothic" w:hint="eastAsia"/>
          <w:b/>
          <w:lang w:eastAsia="ko-KR"/>
        </w:rPr>
        <w:t>2</w:t>
      </w:r>
      <w:r>
        <w:rPr>
          <w:b/>
        </w:rPr>
        <w:t xml:space="preserve">: </w:t>
      </w:r>
      <w:r>
        <w:rPr>
          <w:rFonts w:eastAsia="Malgun Gothic" w:hint="eastAsia"/>
          <w:lang w:eastAsia="ko-KR"/>
        </w:rPr>
        <w:t xml:space="preserve">SHAP plot of proposed method </w:t>
      </w:r>
      <w:r>
        <w:rPr>
          <w:rFonts w:eastAsia="Malgun Gothic"/>
          <w:lang w:eastAsia="ko-KR"/>
        </w:rPr>
        <w:t>–</w:t>
      </w:r>
      <w:r>
        <w:rPr>
          <w:rFonts w:eastAsia="Malgun Gothic" w:hint="eastAsia"/>
          <w:lang w:eastAsia="ko-KR"/>
        </w:rPr>
        <w:t xml:space="preserve"> classified as No Fault</w:t>
      </w:r>
    </w:p>
    <w:p w14:paraId="63CC55D9" w14:textId="77777777" w:rsidR="00714E88" w:rsidRDefault="00000000">
      <w:pPr>
        <w:pStyle w:val="TSP41tablecaption"/>
        <w:jc w:val="center"/>
      </w:pPr>
      <w:r>
        <w:rPr>
          <w:b/>
        </w:rPr>
        <w:t xml:space="preserve">Table </w:t>
      </w:r>
      <w:r>
        <w:rPr>
          <w:rFonts w:eastAsia="Malgun Gothic" w:hint="eastAsia"/>
          <w:b/>
          <w:lang w:eastAsia="ko-KR"/>
        </w:rPr>
        <w:t>S2</w:t>
      </w:r>
      <w:r>
        <w:rPr>
          <w:b/>
        </w:rPr>
        <w:t xml:space="preserve">: </w:t>
      </w:r>
      <w:r>
        <w:rPr>
          <w:rFonts w:eastAsia="Malgun Gothic" w:hint="eastAsia"/>
          <w:lang w:eastAsia="ko-KR"/>
        </w:rPr>
        <w:t>Interpretation of SHAP analysis</w:t>
      </w:r>
      <w:r>
        <w:rPr>
          <w:rFonts w:eastAsia="Malgun Gothic"/>
          <w:lang w:eastAsia="ko-KR"/>
        </w:rPr>
        <w:t xml:space="preserve"> using the </w:t>
      </w:r>
      <w:r>
        <w:rPr>
          <w:rFonts w:eastAsia="Malgun Gothic" w:hint="eastAsia"/>
          <w:lang w:eastAsia="ko-KR"/>
        </w:rPr>
        <w:t>V</w:t>
      </w:r>
      <w:r>
        <w:rPr>
          <w:rFonts w:eastAsia="Malgun Gothic"/>
          <w:lang w:eastAsia="ko-KR"/>
        </w:rPr>
        <w:t>LM</w:t>
      </w:r>
      <w:r>
        <w:rPr>
          <w:rFonts w:eastAsia="Malgun Gothic" w:hint="eastAsia"/>
          <w:lang w:eastAsia="ko-KR"/>
        </w:rPr>
        <w:t xml:space="preserve"> </w:t>
      </w:r>
      <w:r>
        <w:rPr>
          <w:rFonts w:eastAsia="Malgun Gothic"/>
          <w:lang w:eastAsia="ko-KR"/>
        </w:rPr>
        <w:t>–</w:t>
      </w:r>
      <w:r>
        <w:rPr>
          <w:rFonts w:eastAsia="Malgun Gothic" w:hint="eastAsia"/>
          <w:lang w:eastAsia="ko-KR"/>
        </w:rPr>
        <w:t xml:space="preserve"> corresponding to Figure S2</w:t>
      </w:r>
    </w:p>
    <w:tbl>
      <w:tblPr>
        <w:tblW w:w="9361" w:type="dxa"/>
        <w:jc w:val="center"/>
        <w:tblBorders>
          <w:top w:val="single" w:sz="4" w:space="0" w:color="auto"/>
          <w:bottom w:val="single" w:sz="4" w:space="0" w:color="auto"/>
        </w:tblBorders>
        <w:tblLayout w:type="fixed"/>
        <w:tblCellMar>
          <w:left w:w="0" w:type="dxa"/>
          <w:right w:w="0" w:type="dxa"/>
        </w:tblCellMar>
        <w:tblLook w:val="04A0" w:firstRow="1" w:lastRow="0" w:firstColumn="1" w:lastColumn="0" w:noHBand="0" w:noVBand="1"/>
      </w:tblPr>
      <w:tblGrid>
        <w:gridCol w:w="9361"/>
      </w:tblGrid>
      <w:tr w:rsidR="00714E88" w14:paraId="5D34BC90" w14:textId="77777777">
        <w:trPr>
          <w:trHeight w:val="231"/>
          <w:jc w:val="center"/>
        </w:trPr>
        <w:tc>
          <w:tcPr>
            <w:tcW w:w="9361" w:type="dxa"/>
            <w:tcBorders>
              <w:top w:val="single" w:sz="4" w:space="0" w:color="auto"/>
              <w:bottom w:val="single" w:sz="4" w:space="0" w:color="auto"/>
            </w:tcBorders>
            <w:vAlign w:val="center"/>
          </w:tcPr>
          <w:p w14:paraId="310663F0" w14:textId="77777777" w:rsidR="00714E88" w:rsidRDefault="00000000">
            <w:pPr>
              <w:pStyle w:val="TSP42tablebody"/>
              <w:rPr>
                <w:rFonts w:eastAsia="Malgun Gothic"/>
                <w:b/>
                <w:bCs/>
                <w:sz w:val="18"/>
                <w:szCs w:val="18"/>
                <w:lang w:eastAsia="ko-KR"/>
              </w:rPr>
            </w:pPr>
            <w:r>
              <w:rPr>
                <w:rFonts w:eastAsia="Malgun Gothic" w:hint="eastAsia"/>
                <w:b/>
                <w:bCs/>
                <w:sz w:val="18"/>
                <w:szCs w:val="18"/>
                <w:lang w:eastAsia="ko-KR"/>
              </w:rPr>
              <w:t>Result</w:t>
            </w:r>
          </w:p>
        </w:tc>
      </w:tr>
      <w:tr w:rsidR="00714E88" w14:paraId="0165E810" w14:textId="77777777">
        <w:trPr>
          <w:trHeight w:val="137"/>
          <w:jc w:val="center"/>
        </w:trPr>
        <w:tc>
          <w:tcPr>
            <w:tcW w:w="9361" w:type="dxa"/>
            <w:tcBorders>
              <w:top w:val="single" w:sz="4" w:space="0" w:color="auto"/>
              <w:bottom w:val="single" w:sz="4" w:space="0" w:color="auto"/>
            </w:tcBorders>
            <w:vAlign w:val="center"/>
          </w:tcPr>
          <w:p w14:paraId="4B32BA00" w14:textId="77777777" w:rsidR="00714E88" w:rsidRDefault="00000000">
            <w:pPr>
              <w:pStyle w:val="TSP42tablebody"/>
              <w:jc w:val="both"/>
              <w:rPr>
                <w:b/>
                <w:bCs/>
                <w:sz w:val="18"/>
                <w:szCs w:val="18"/>
              </w:rPr>
            </w:pPr>
            <w:r>
              <w:rPr>
                <w:b/>
                <w:bCs/>
                <w:sz w:val="18"/>
                <w:szCs w:val="18"/>
              </w:rPr>
              <w:t xml:space="preserve">Local Explanation of SHAP Output for Instance Classified as </w:t>
            </w:r>
            <w:r>
              <w:rPr>
                <w:b/>
                <w:bCs/>
                <w:i/>
                <w:iCs/>
                <w:sz w:val="18"/>
                <w:szCs w:val="18"/>
              </w:rPr>
              <w:t>No Fault</w:t>
            </w:r>
          </w:p>
          <w:p w14:paraId="74167C18" w14:textId="77777777" w:rsidR="00714E88" w:rsidRDefault="00000000">
            <w:pPr>
              <w:pStyle w:val="TSP42tablebody"/>
              <w:jc w:val="both"/>
              <w:rPr>
                <w:b/>
                <w:bCs/>
                <w:sz w:val="18"/>
                <w:szCs w:val="18"/>
              </w:rPr>
            </w:pPr>
            <w:r>
              <w:rPr>
                <w:b/>
                <w:bCs/>
                <w:sz w:val="18"/>
                <w:szCs w:val="18"/>
              </w:rPr>
              <w:t>1. Key Features</w:t>
            </w:r>
          </w:p>
          <w:p w14:paraId="1DA3ACB7" w14:textId="77777777" w:rsidR="00714E88" w:rsidRDefault="00000000" w:rsidP="00B1418D">
            <w:pPr>
              <w:pStyle w:val="TSP42tablebody"/>
              <w:numPr>
                <w:ilvl w:val="0"/>
                <w:numId w:val="8"/>
              </w:numPr>
              <w:jc w:val="both"/>
              <w:rPr>
                <w:sz w:val="18"/>
                <w:szCs w:val="18"/>
              </w:rPr>
            </w:pPr>
            <w:r>
              <w:rPr>
                <w:sz w:val="18"/>
                <w:szCs w:val="18"/>
              </w:rPr>
              <w:t xml:space="preserve">The SHAP Waterfall Plot reveals that the most influential features contributing to the model’s </w:t>
            </w:r>
            <w:proofErr w:type="gramStart"/>
            <w:r>
              <w:rPr>
                <w:i/>
                <w:iCs/>
                <w:sz w:val="18"/>
                <w:szCs w:val="18"/>
              </w:rPr>
              <w:t>No Fault</w:t>
            </w:r>
            <w:proofErr w:type="gramEnd"/>
            <w:r>
              <w:rPr>
                <w:sz w:val="18"/>
                <w:szCs w:val="18"/>
              </w:rPr>
              <w:t xml:space="preserve"> prediction were primarily related to exhaust gas composition and fuel consumption:</w:t>
            </w:r>
          </w:p>
          <w:p w14:paraId="2B25B608" w14:textId="77777777" w:rsidR="00714E88" w:rsidRDefault="00000000" w:rsidP="00B1418D">
            <w:pPr>
              <w:pStyle w:val="TSP42tablebody"/>
              <w:numPr>
                <w:ilvl w:val="0"/>
                <w:numId w:val="8"/>
              </w:numPr>
              <w:jc w:val="both"/>
              <w:rPr>
                <w:sz w:val="18"/>
                <w:szCs w:val="18"/>
              </w:rPr>
            </w:pPr>
            <w:r>
              <w:rPr>
                <w:b/>
                <w:bCs/>
                <w:sz w:val="18"/>
                <w:szCs w:val="18"/>
              </w:rPr>
              <w:t>Positive contributions (supporting No Fault):</w:t>
            </w:r>
          </w:p>
          <w:p w14:paraId="60C52AAB" w14:textId="77777777" w:rsidR="00714E88" w:rsidRDefault="00000000" w:rsidP="00B1418D">
            <w:pPr>
              <w:pStyle w:val="TSP42tablebody"/>
              <w:numPr>
                <w:ilvl w:val="1"/>
                <w:numId w:val="8"/>
              </w:numPr>
              <w:jc w:val="both"/>
              <w:rPr>
                <w:sz w:val="18"/>
                <w:szCs w:val="18"/>
              </w:rPr>
            </w:pPr>
            <w:r>
              <w:rPr>
                <w:b/>
                <w:bCs/>
                <w:sz w:val="18"/>
                <w:szCs w:val="18"/>
              </w:rPr>
              <w:t>CO (0.30)</w:t>
            </w:r>
            <w:r>
              <w:rPr>
                <w:sz w:val="18"/>
                <w:szCs w:val="18"/>
              </w:rPr>
              <w:t xml:space="preserve"> exerted the strongest positive influence (</w:t>
            </w:r>
            <w:r>
              <w:rPr>
                <w:b/>
                <w:bCs/>
                <w:sz w:val="18"/>
                <w:szCs w:val="18"/>
              </w:rPr>
              <w:t>+6.13</w:t>
            </w:r>
            <w:r>
              <w:rPr>
                <w:sz w:val="18"/>
                <w:szCs w:val="18"/>
              </w:rPr>
              <w:t>), strongly reinforcing the normal engine condition.</w:t>
            </w:r>
          </w:p>
          <w:p w14:paraId="0702D331" w14:textId="77777777" w:rsidR="00714E88" w:rsidRDefault="00000000" w:rsidP="00B1418D">
            <w:pPr>
              <w:pStyle w:val="TSP42tablebody"/>
              <w:numPr>
                <w:ilvl w:val="1"/>
                <w:numId w:val="8"/>
              </w:numPr>
              <w:jc w:val="both"/>
              <w:rPr>
                <w:sz w:val="18"/>
                <w:szCs w:val="18"/>
              </w:rPr>
            </w:pPr>
            <w:r>
              <w:rPr>
                <w:b/>
                <w:bCs/>
                <w:sz w:val="18"/>
                <w:szCs w:val="18"/>
              </w:rPr>
              <w:t>Consumption L/100KM (0.51)</w:t>
            </w:r>
            <w:r>
              <w:rPr>
                <w:sz w:val="18"/>
                <w:szCs w:val="18"/>
              </w:rPr>
              <w:t xml:space="preserve"> provided a substantial positive contribution (</w:t>
            </w:r>
            <w:r>
              <w:rPr>
                <w:b/>
                <w:bCs/>
                <w:sz w:val="18"/>
                <w:szCs w:val="18"/>
              </w:rPr>
              <w:t>+2.24</w:t>
            </w:r>
            <w:r>
              <w:rPr>
                <w:sz w:val="18"/>
                <w:szCs w:val="18"/>
              </w:rPr>
              <w:t>).</w:t>
            </w:r>
          </w:p>
          <w:p w14:paraId="126CB5F3" w14:textId="77777777" w:rsidR="00714E88" w:rsidRDefault="00000000" w:rsidP="00B1418D">
            <w:pPr>
              <w:pStyle w:val="TSP42tablebody"/>
              <w:numPr>
                <w:ilvl w:val="1"/>
                <w:numId w:val="8"/>
              </w:numPr>
              <w:jc w:val="both"/>
              <w:rPr>
                <w:sz w:val="18"/>
                <w:szCs w:val="18"/>
              </w:rPr>
            </w:pPr>
            <w:r>
              <w:rPr>
                <w:b/>
                <w:bCs/>
                <w:sz w:val="18"/>
                <w:szCs w:val="18"/>
              </w:rPr>
              <w:t>HC (0.23)</w:t>
            </w:r>
            <w:r>
              <w:rPr>
                <w:sz w:val="18"/>
                <w:szCs w:val="18"/>
              </w:rPr>
              <w:t xml:space="preserve"> also contributed positively (</w:t>
            </w:r>
            <w:r>
              <w:rPr>
                <w:b/>
                <w:bCs/>
                <w:sz w:val="18"/>
                <w:szCs w:val="18"/>
              </w:rPr>
              <w:t>+1.12</w:t>
            </w:r>
            <w:r>
              <w:rPr>
                <w:sz w:val="18"/>
                <w:szCs w:val="18"/>
              </w:rPr>
              <w:t>).</w:t>
            </w:r>
          </w:p>
          <w:p w14:paraId="6F8CF920" w14:textId="77777777" w:rsidR="00714E88" w:rsidRDefault="00000000" w:rsidP="00B1418D">
            <w:pPr>
              <w:pStyle w:val="TSP42tablebody"/>
              <w:numPr>
                <w:ilvl w:val="1"/>
                <w:numId w:val="8"/>
              </w:numPr>
              <w:jc w:val="both"/>
              <w:rPr>
                <w:sz w:val="18"/>
                <w:szCs w:val="18"/>
              </w:rPr>
            </w:pPr>
            <w:r>
              <w:rPr>
                <w:b/>
                <w:bCs/>
                <w:sz w:val="18"/>
                <w:szCs w:val="18"/>
              </w:rPr>
              <w:t>Force (0.61)</w:t>
            </w:r>
            <w:r>
              <w:rPr>
                <w:sz w:val="18"/>
                <w:szCs w:val="18"/>
              </w:rPr>
              <w:t xml:space="preserve"> and </w:t>
            </w:r>
            <w:r>
              <w:rPr>
                <w:b/>
                <w:bCs/>
                <w:sz w:val="18"/>
                <w:szCs w:val="18"/>
              </w:rPr>
              <w:t>O₂ (0.23)</w:t>
            </w:r>
            <w:r>
              <w:rPr>
                <w:sz w:val="18"/>
                <w:szCs w:val="18"/>
              </w:rPr>
              <w:t xml:space="preserve"> added moderate positive effects (</w:t>
            </w:r>
            <w:r>
              <w:rPr>
                <w:b/>
                <w:bCs/>
                <w:sz w:val="18"/>
                <w:szCs w:val="18"/>
              </w:rPr>
              <w:t>+0.83 and +0.56</w:t>
            </w:r>
            <w:r>
              <w:rPr>
                <w:sz w:val="18"/>
                <w:szCs w:val="18"/>
              </w:rPr>
              <w:t>, respectively).</w:t>
            </w:r>
          </w:p>
          <w:p w14:paraId="0E3E3644" w14:textId="77777777" w:rsidR="00714E88" w:rsidRDefault="00000000" w:rsidP="00B1418D">
            <w:pPr>
              <w:pStyle w:val="TSP42tablebody"/>
              <w:numPr>
                <w:ilvl w:val="1"/>
                <w:numId w:val="8"/>
              </w:numPr>
              <w:jc w:val="both"/>
              <w:rPr>
                <w:sz w:val="18"/>
                <w:szCs w:val="18"/>
              </w:rPr>
            </w:pPr>
            <w:r>
              <w:rPr>
                <w:b/>
                <w:bCs/>
                <w:sz w:val="18"/>
                <w:szCs w:val="18"/>
              </w:rPr>
              <w:t>TPS (0.98)</w:t>
            </w:r>
            <w:r>
              <w:rPr>
                <w:sz w:val="18"/>
                <w:szCs w:val="18"/>
              </w:rPr>
              <w:t xml:space="preserve"> and </w:t>
            </w:r>
            <w:r>
              <w:rPr>
                <w:b/>
                <w:bCs/>
                <w:sz w:val="18"/>
                <w:szCs w:val="18"/>
              </w:rPr>
              <w:t>Consumption L/H (0.25)</w:t>
            </w:r>
            <w:r>
              <w:rPr>
                <w:sz w:val="18"/>
                <w:szCs w:val="18"/>
              </w:rPr>
              <w:t xml:space="preserve"> each contributed </w:t>
            </w:r>
            <w:r>
              <w:rPr>
                <w:b/>
                <w:bCs/>
                <w:sz w:val="18"/>
                <w:szCs w:val="18"/>
              </w:rPr>
              <w:t>+0.36</w:t>
            </w:r>
            <w:r>
              <w:rPr>
                <w:sz w:val="18"/>
                <w:szCs w:val="18"/>
              </w:rPr>
              <w:t>, reinforcing the normal class assignment.</w:t>
            </w:r>
          </w:p>
          <w:p w14:paraId="03B48914" w14:textId="77777777" w:rsidR="00714E88" w:rsidRDefault="00000000" w:rsidP="00B1418D">
            <w:pPr>
              <w:pStyle w:val="TSP42tablebody"/>
              <w:numPr>
                <w:ilvl w:val="1"/>
                <w:numId w:val="8"/>
              </w:numPr>
              <w:jc w:val="both"/>
              <w:rPr>
                <w:sz w:val="18"/>
                <w:szCs w:val="18"/>
              </w:rPr>
            </w:pPr>
            <w:r>
              <w:rPr>
                <w:sz w:val="18"/>
                <w:szCs w:val="18"/>
              </w:rPr>
              <w:t xml:space="preserve">Additional minor positive contributions came from </w:t>
            </w:r>
            <w:r>
              <w:rPr>
                <w:b/>
                <w:bCs/>
                <w:sz w:val="18"/>
                <w:szCs w:val="18"/>
              </w:rPr>
              <w:t>CO₂ (0.72, +0.26)</w:t>
            </w:r>
            <w:r>
              <w:rPr>
                <w:sz w:val="18"/>
                <w:szCs w:val="18"/>
              </w:rPr>
              <w:t xml:space="preserve">, </w:t>
            </w:r>
            <w:r>
              <w:rPr>
                <w:b/>
                <w:bCs/>
                <w:sz w:val="18"/>
                <w:szCs w:val="18"/>
              </w:rPr>
              <w:t>MAP (0.76, +0.23)</w:t>
            </w:r>
            <w:r>
              <w:rPr>
                <w:sz w:val="18"/>
                <w:szCs w:val="18"/>
              </w:rPr>
              <w:t xml:space="preserve">, </w:t>
            </w:r>
            <w:r>
              <w:rPr>
                <w:b/>
                <w:bCs/>
                <w:sz w:val="18"/>
                <w:szCs w:val="18"/>
              </w:rPr>
              <w:t>AFR (0.48, +0.05)</w:t>
            </w:r>
            <w:r>
              <w:rPr>
                <w:sz w:val="18"/>
                <w:szCs w:val="18"/>
              </w:rPr>
              <w:t xml:space="preserve">, </w:t>
            </w:r>
            <w:r>
              <w:rPr>
                <w:b/>
                <w:bCs/>
                <w:sz w:val="18"/>
                <w:szCs w:val="18"/>
              </w:rPr>
              <w:t>Lambda (0.47, +0.02)</w:t>
            </w:r>
            <w:r>
              <w:rPr>
                <w:sz w:val="18"/>
                <w:szCs w:val="18"/>
              </w:rPr>
              <w:t xml:space="preserve">, and </w:t>
            </w:r>
            <w:r>
              <w:rPr>
                <w:b/>
                <w:bCs/>
                <w:sz w:val="18"/>
                <w:szCs w:val="18"/>
              </w:rPr>
              <w:t>Speed (0.21, +0.01)</w:t>
            </w:r>
            <w:r>
              <w:rPr>
                <w:sz w:val="18"/>
                <w:szCs w:val="18"/>
              </w:rPr>
              <w:t>.</w:t>
            </w:r>
          </w:p>
          <w:p w14:paraId="3FFB647C" w14:textId="77777777" w:rsidR="00714E88" w:rsidRDefault="00000000" w:rsidP="00B1418D">
            <w:pPr>
              <w:pStyle w:val="TSP42tablebody"/>
              <w:numPr>
                <w:ilvl w:val="0"/>
                <w:numId w:val="8"/>
              </w:numPr>
              <w:jc w:val="both"/>
              <w:rPr>
                <w:sz w:val="18"/>
                <w:szCs w:val="18"/>
              </w:rPr>
            </w:pPr>
            <w:r>
              <w:rPr>
                <w:b/>
                <w:bCs/>
                <w:sz w:val="18"/>
                <w:szCs w:val="18"/>
              </w:rPr>
              <w:t>Negative contributions (opposing No Fault):</w:t>
            </w:r>
          </w:p>
          <w:p w14:paraId="2A4AC6EF" w14:textId="77777777" w:rsidR="00714E88" w:rsidRDefault="00000000" w:rsidP="00B1418D">
            <w:pPr>
              <w:pStyle w:val="TSP42tablebody"/>
              <w:numPr>
                <w:ilvl w:val="1"/>
                <w:numId w:val="8"/>
              </w:numPr>
              <w:jc w:val="both"/>
              <w:rPr>
                <w:sz w:val="18"/>
                <w:szCs w:val="18"/>
              </w:rPr>
            </w:pPr>
            <w:r>
              <w:rPr>
                <w:b/>
                <w:bCs/>
                <w:sz w:val="18"/>
                <w:szCs w:val="18"/>
              </w:rPr>
              <w:t>Power (0.30)</w:t>
            </w:r>
            <w:r>
              <w:rPr>
                <w:sz w:val="18"/>
                <w:szCs w:val="18"/>
              </w:rPr>
              <w:t xml:space="preserve"> exerted the most significant negative influence (</w:t>
            </w:r>
            <w:r>
              <w:rPr>
                <w:b/>
                <w:bCs/>
                <w:sz w:val="18"/>
                <w:szCs w:val="18"/>
              </w:rPr>
              <w:t>–0.61</w:t>
            </w:r>
            <w:r>
              <w:rPr>
                <w:sz w:val="18"/>
                <w:szCs w:val="18"/>
              </w:rPr>
              <w:t>).</w:t>
            </w:r>
          </w:p>
          <w:p w14:paraId="11BE8928" w14:textId="77777777" w:rsidR="00714E88" w:rsidRDefault="00000000" w:rsidP="00B1418D">
            <w:pPr>
              <w:pStyle w:val="TSP42tablebody"/>
              <w:numPr>
                <w:ilvl w:val="1"/>
                <w:numId w:val="8"/>
              </w:numPr>
              <w:jc w:val="both"/>
              <w:rPr>
                <w:sz w:val="18"/>
                <w:szCs w:val="18"/>
              </w:rPr>
            </w:pPr>
            <w:r>
              <w:rPr>
                <w:b/>
                <w:bCs/>
                <w:sz w:val="18"/>
                <w:szCs w:val="18"/>
              </w:rPr>
              <w:t>RPM (0.18)</w:t>
            </w:r>
            <w:r>
              <w:rPr>
                <w:sz w:val="18"/>
                <w:szCs w:val="18"/>
              </w:rPr>
              <w:t xml:space="preserve"> also contributed negatively (</w:t>
            </w:r>
            <w:r>
              <w:rPr>
                <w:b/>
                <w:bCs/>
                <w:sz w:val="18"/>
                <w:szCs w:val="18"/>
              </w:rPr>
              <w:t>–0.15</w:t>
            </w:r>
            <w:r>
              <w:rPr>
                <w:sz w:val="18"/>
                <w:szCs w:val="18"/>
              </w:rPr>
              <w:t>), though with smaller impact.</w:t>
            </w:r>
          </w:p>
          <w:p w14:paraId="55A07E33" w14:textId="77777777" w:rsidR="00714E88" w:rsidRDefault="00000000" w:rsidP="00B1418D">
            <w:pPr>
              <w:pStyle w:val="TSP42tablebody"/>
              <w:numPr>
                <w:ilvl w:val="0"/>
                <w:numId w:val="8"/>
              </w:numPr>
              <w:jc w:val="both"/>
              <w:rPr>
                <w:sz w:val="18"/>
                <w:szCs w:val="18"/>
              </w:rPr>
            </w:pPr>
            <w:r>
              <w:rPr>
                <w:sz w:val="18"/>
                <w:szCs w:val="18"/>
              </w:rPr>
              <w:t>The dominance of strong positive SHAP values for CO, fuel consumption, and HC far outweighed the modest negative effects of Power and RPM.</w:t>
            </w:r>
          </w:p>
          <w:p w14:paraId="09164CFD" w14:textId="77777777" w:rsidR="00714E88" w:rsidRDefault="00000000">
            <w:pPr>
              <w:pStyle w:val="TSP42tablebody"/>
              <w:jc w:val="both"/>
              <w:rPr>
                <w:b/>
                <w:bCs/>
                <w:sz w:val="18"/>
                <w:szCs w:val="18"/>
              </w:rPr>
            </w:pPr>
            <w:r>
              <w:rPr>
                <w:b/>
                <w:bCs/>
                <w:sz w:val="18"/>
                <w:szCs w:val="18"/>
              </w:rPr>
              <w:t>2. Stepwise Contribution Process</w:t>
            </w:r>
          </w:p>
          <w:p w14:paraId="37942CF3" w14:textId="77777777" w:rsidR="00714E88" w:rsidRDefault="00000000" w:rsidP="00B1418D">
            <w:pPr>
              <w:pStyle w:val="TSP42tablebody"/>
              <w:numPr>
                <w:ilvl w:val="0"/>
                <w:numId w:val="8"/>
              </w:numPr>
              <w:jc w:val="both"/>
              <w:rPr>
                <w:sz w:val="18"/>
                <w:szCs w:val="18"/>
              </w:rPr>
            </w:pPr>
            <w:r>
              <w:rPr>
                <w:sz w:val="18"/>
                <w:szCs w:val="18"/>
              </w:rPr>
              <w:t xml:space="preserve">The model’s baseline output was </w:t>
            </w:r>
            <w:r>
              <w:rPr>
                <w:b/>
                <w:bCs/>
                <w:sz w:val="18"/>
                <w:szCs w:val="18"/>
              </w:rPr>
              <w:t>E[f(X)] = –1.757</w:t>
            </w:r>
            <w:r>
              <w:rPr>
                <w:sz w:val="18"/>
                <w:szCs w:val="18"/>
              </w:rPr>
              <w:t>, which represents the expected model score prior to considering the specific feature values for this instance.</w:t>
            </w:r>
          </w:p>
          <w:p w14:paraId="4A8D321B" w14:textId="77777777" w:rsidR="00714E88" w:rsidRDefault="00000000" w:rsidP="00B1418D">
            <w:pPr>
              <w:pStyle w:val="TSP42tablebody"/>
              <w:numPr>
                <w:ilvl w:val="0"/>
                <w:numId w:val="9"/>
              </w:numPr>
              <w:jc w:val="both"/>
              <w:rPr>
                <w:sz w:val="18"/>
                <w:szCs w:val="18"/>
              </w:rPr>
            </w:pPr>
            <w:r>
              <w:rPr>
                <w:sz w:val="18"/>
                <w:szCs w:val="18"/>
              </w:rPr>
              <w:t>The prediction was incrementally shaped by sequential addition of feature contributions:</w:t>
            </w:r>
          </w:p>
          <w:p w14:paraId="25C808C2" w14:textId="77777777" w:rsidR="00714E88" w:rsidRDefault="00000000" w:rsidP="00B1418D">
            <w:pPr>
              <w:pStyle w:val="TSP42tablebody"/>
              <w:numPr>
                <w:ilvl w:val="1"/>
                <w:numId w:val="9"/>
              </w:numPr>
              <w:jc w:val="both"/>
              <w:rPr>
                <w:sz w:val="18"/>
                <w:szCs w:val="18"/>
              </w:rPr>
            </w:pPr>
            <w:r>
              <w:rPr>
                <w:b/>
                <w:bCs/>
                <w:sz w:val="18"/>
                <w:szCs w:val="18"/>
              </w:rPr>
              <w:lastRenderedPageBreak/>
              <w:t>CO (+6.13)</w:t>
            </w:r>
            <w:r>
              <w:rPr>
                <w:sz w:val="18"/>
                <w:szCs w:val="18"/>
              </w:rPr>
              <w:t xml:space="preserve"> shifted the score strongly toward the </w:t>
            </w:r>
            <w:r>
              <w:rPr>
                <w:i/>
                <w:iCs/>
                <w:sz w:val="18"/>
                <w:szCs w:val="18"/>
              </w:rPr>
              <w:t>No Fault</w:t>
            </w:r>
            <w:r>
              <w:rPr>
                <w:sz w:val="18"/>
                <w:szCs w:val="18"/>
              </w:rPr>
              <w:t xml:space="preserve"> classification.</w:t>
            </w:r>
          </w:p>
          <w:p w14:paraId="0604B0E1" w14:textId="77777777" w:rsidR="00714E88" w:rsidRDefault="00000000" w:rsidP="00B1418D">
            <w:pPr>
              <w:pStyle w:val="TSP42tablebody"/>
              <w:numPr>
                <w:ilvl w:val="1"/>
                <w:numId w:val="9"/>
              </w:numPr>
              <w:jc w:val="both"/>
              <w:rPr>
                <w:sz w:val="18"/>
                <w:szCs w:val="18"/>
              </w:rPr>
            </w:pPr>
            <w:r>
              <w:rPr>
                <w:b/>
                <w:bCs/>
                <w:sz w:val="18"/>
                <w:szCs w:val="18"/>
              </w:rPr>
              <w:t>Consumption L/100KM (+2.24)</w:t>
            </w:r>
            <w:r>
              <w:rPr>
                <w:sz w:val="18"/>
                <w:szCs w:val="18"/>
              </w:rPr>
              <w:t xml:space="preserve"> further reinforced the prediction.</w:t>
            </w:r>
          </w:p>
          <w:p w14:paraId="7D025644" w14:textId="77777777" w:rsidR="00714E88" w:rsidRDefault="00000000" w:rsidP="00B1418D">
            <w:pPr>
              <w:pStyle w:val="TSP42tablebody"/>
              <w:numPr>
                <w:ilvl w:val="1"/>
                <w:numId w:val="9"/>
              </w:numPr>
              <w:jc w:val="both"/>
              <w:rPr>
                <w:sz w:val="18"/>
                <w:szCs w:val="18"/>
              </w:rPr>
            </w:pPr>
            <w:r>
              <w:rPr>
                <w:b/>
                <w:bCs/>
                <w:sz w:val="18"/>
                <w:szCs w:val="18"/>
              </w:rPr>
              <w:t>HC (+1.12)</w:t>
            </w:r>
            <w:r>
              <w:rPr>
                <w:sz w:val="18"/>
                <w:szCs w:val="18"/>
              </w:rPr>
              <w:t xml:space="preserve"> and </w:t>
            </w:r>
            <w:r>
              <w:rPr>
                <w:b/>
                <w:bCs/>
                <w:sz w:val="18"/>
                <w:szCs w:val="18"/>
              </w:rPr>
              <w:t>Force (+0.83)</w:t>
            </w:r>
            <w:r>
              <w:rPr>
                <w:sz w:val="18"/>
                <w:szCs w:val="18"/>
              </w:rPr>
              <w:t xml:space="preserve"> added substantial support.</w:t>
            </w:r>
          </w:p>
          <w:p w14:paraId="5DB46730" w14:textId="77777777" w:rsidR="00714E88" w:rsidRDefault="00000000" w:rsidP="00B1418D">
            <w:pPr>
              <w:pStyle w:val="TSP42tablebody"/>
              <w:numPr>
                <w:ilvl w:val="1"/>
                <w:numId w:val="9"/>
              </w:numPr>
              <w:jc w:val="both"/>
              <w:rPr>
                <w:sz w:val="18"/>
                <w:szCs w:val="18"/>
              </w:rPr>
            </w:pPr>
            <w:r>
              <w:rPr>
                <w:b/>
                <w:bCs/>
                <w:sz w:val="18"/>
                <w:szCs w:val="18"/>
              </w:rPr>
              <w:t>Power (–0.61)</w:t>
            </w:r>
            <w:r>
              <w:rPr>
                <w:sz w:val="18"/>
                <w:szCs w:val="18"/>
              </w:rPr>
              <w:t xml:space="preserve"> partially counteracted this trend, pulling the score downward.</w:t>
            </w:r>
          </w:p>
          <w:p w14:paraId="6CE77945" w14:textId="77777777" w:rsidR="00714E88" w:rsidRDefault="00000000" w:rsidP="00B1418D">
            <w:pPr>
              <w:pStyle w:val="TSP42tablebody"/>
              <w:numPr>
                <w:ilvl w:val="1"/>
                <w:numId w:val="9"/>
              </w:numPr>
              <w:jc w:val="both"/>
              <w:rPr>
                <w:sz w:val="18"/>
                <w:szCs w:val="18"/>
              </w:rPr>
            </w:pPr>
            <w:r>
              <w:rPr>
                <w:b/>
                <w:bCs/>
                <w:sz w:val="18"/>
                <w:szCs w:val="18"/>
              </w:rPr>
              <w:t>O₂ (+0.56)</w:t>
            </w:r>
            <w:r>
              <w:rPr>
                <w:sz w:val="18"/>
                <w:szCs w:val="18"/>
              </w:rPr>
              <w:t xml:space="preserve">, </w:t>
            </w:r>
            <w:r>
              <w:rPr>
                <w:b/>
                <w:bCs/>
                <w:sz w:val="18"/>
                <w:szCs w:val="18"/>
              </w:rPr>
              <w:t>TPS (+0.36)</w:t>
            </w:r>
            <w:r>
              <w:rPr>
                <w:sz w:val="18"/>
                <w:szCs w:val="18"/>
              </w:rPr>
              <w:t xml:space="preserve">, and </w:t>
            </w:r>
            <w:r>
              <w:rPr>
                <w:b/>
                <w:bCs/>
                <w:sz w:val="18"/>
                <w:szCs w:val="18"/>
              </w:rPr>
              <w:t>Consumption L/H (+0.36)</w:t>
            </w:r>
            <w:r>
              <w:rPr>
                <w:sz w:val="18"/>
                <w:szCs w:val="18"/>
              </w:rPr>
              <w:t xml:space="preserve"> again pushed the score upward.</w:t>
            </w:r>
          </w:p>
          <w:p w14:paraId="07244E4C" w14:textId="77777777" w:rsidR="00714E88" w:rsidRDefault="00000000" w:rsidP="00B1418D">
            <w:pPr>
              <w:pStyle w:val="TSP42tablebody"/>
              <w:numPr>
                <w:ilvl w:val="1"/>
                <w:numId w:val="9"/>
              </w:numPr>
              <w:jc w:val="both"/>
              <w:rPr>
                <w:sz w:val="18"/>
                <w:szCs w:val="18"/>
              </w:rPr>
            </w:pPr>
            <w:r>
              <w:rPr>
                <w:sz w:val="18"/>
                <w:szCs w:val="18"/>
              </w:rPr>
              <w:t>Minor contributions from CO₂, MAP, RPM (–0.15), AFR, Lambda, and Speed provided incremental adjustments.</w:t>
            </w:r>
          </w:p>
          <w:p w14:paraId="16DC6166" w14:textId="77777777" w:rsidR="00714E88" w:rsidRDefault="00000000" w:rsidP="00B1418D">
            <w:pPr>
              <w:pStyle w:val="TSP42tablebody"/>
              <w:numPr>
                <w:ilvl w:val="0"/>
                <w:numId w:val="9"/>
              </w:numPr>
              <w:jc w:val="both"/>
              <w:rPr>
                <w:sz w:val="18"/>
                <w:szCs w:val="18"/>
              </w:rPr>
            </w:pPr>
            <w:r>
              <w:rPr>
                <w:sz w:val="18"/>
                <w:szCs w:val="18"/>
              </w:rPr>
              <w:t xml:space="preserve">The cumulative effect of these contributions resulted in a final output value of </w:t>
            </w:r>
            <w:r>
              <w:rPr>
                <w:b/>
                <w:bCs/>
                <w:sz w:val="18"/>
                <w:szCs w:val="18"/>
              </w:rPr>
              <w:t>f(x) = 9.664</w:t>
            </w:r>
            <w:r>
              <w:rPr>
                <w:sz w:val="18"/>
                <w:szCs w:val="18"/>
              </w:rPr>
              <w:t xml:space="preserve">, which corresponds to a classification of </w:t>
            </w:r>
            <w:r>
              <w:rPr>
                <w:b/>
                <w:bCs/>
                <w:sz w:val="18"/>
                <w:szCs w:val="18"/>
              </w:rPr>
              <w:t>No Fault</w:t>
            </w:r>
            <w:r>
              <w:rPr>
                <w:sz w:val="18"/>
                <w:szCs w:val="18"/>
              </w:rPr>
              <w:t xml:space="preserve"> with maximum probability (1.00).</w:t>
            </w:r>
          </w:p>
          <w:p w14:paraId="1F914AD7" w14:textId="77777777" w:rsidR="00714E88" w:rsidRDefault="00000000">
            <w:pPr>
              <w:pStyle w:val="TSP42tablebody"/>
              <w:jc w:val="both"/>
              <w:rPr>
                <w:b/>
                <w:bCs/>
                <w:sz w:val="18"/>
                <w:szCs w:val="18"/>
              </w:rPr>
            </w:pPr>
            <w:r>
              <w:rPr>
                <w:b/>
                <w:bCs/>
                <w:sz w:val="18"/>
                <w:szCs w:val="18"/>
              </w:rPr>
              <w:t>3. Low-Impact Features</w:t>
            </w:r>
          </w:p>
          <w:p w14:paraId="23F0EA35" w14:textId="77777777" w:rsidR="00714E88" w:rsidRDefault="00000000" w:rsidP="00B1418D">
            <w:pPr>
              <w:pStyle w:val="TSP42tablebody"/>
              <w:numPr>
                <w:ilvl w:val="0"/>
                <w:numId w:val="8"/>
              </w:numPr>
              <w:jc w:val="both"/>
              <w:rPr>
                <w:sz w:val="18"/>
                <w:szCs w:val="18"/>
              </w:rPr>
            </w:pPr>
            <w:r>
              <w:rPr>
                <w:sz w:val="18"/>
                <w:szCs w:val="18"/>
              </w:rPr>
              <w:t>Certain variables exhibited near-zero SHAP values and thus had limited effect on the model’s decision:</w:t>
            </w:r>
          </w:p>
          <w:p w14:paraId="6C55AD65" w14:textId="77777777" w:rsidR="00714E88" w:rsidRDefault="00000000" w:rsidP="00B1418D">
            <w:pPr>
              <w:pStyle w:val="TSP42tablebody"/>
              <w:numPr>
                <w:ilvl w:val="0"/>
                <w:numId w:val="10"/>
              </w:numPr>
              <w:jc w:val="both"/>
              <w:rPr>
                <w:sz w:val="18"/>
                <w:szCs w:val="18"/>
              </w:rPr>
            </w:pPr>
            <w:r>
              <w:rPr>
                <w:b/>
                <w:bCs/>
                <w:sz w:val="18"/>
                <w:szCs w:val="18"/>
              </w:rPr>
              <w:t>Speed (+0.01)</w:t>
            </w:r>
            <w:r>
              <w:rPr>
                <w:sz w:val="18"/>
                <w:szCs w:val="18"/>
              </w:rPr>
              <w:t xml:space="preserve">, </w:t>
            </w:r>
            <w:r>
              <w:rPr>
                <w:b/>
                <w:bCs/>
                <w:sz w:val="18"/>
                <w:szCs w:val="18"/>
              </w:rPr>
              <w:t>Lambda (+0.02)</w:t>
            </w:r>
            <w:r>
              <w:rPr>
                <w:sz w:val="18"/>
                <w:szCs w:val="18"/>
              </w:rPr>
              <w:t xml:space="preserve">, and </w:t>
            </w:r>
            <w:r>
              <w:rPr>
                <w:b/>
                <w:bCs/>
                <w:sz w:val="18"/>
                <w:szCs w:val="18"/>
              </w:rPr>
              <w:t>AFR (+0.05)</w:t>
            </w:r>
            <w:r>
              <w:rPr>
                <w:sz w:val="18"/>
                <w:szCs w:val="18"/>
              </w:rPr>
              <w:t xml:space="preserve"> contributed marginally.</w:t>
            </w:r>
          </w:p>
          <w:p w14:paraId="2DE9FA19" w14:textId="77777777" w:rsidR="00714E88" w:rsidRDefault="00000000" w:rsidP="00B1418D">
            <w:pPr>
              <w:pStyle w:val="TSP42tablebody"/>
              <w:numPr>
                <w:ilvl w:val="0"/>
                <w:numId w:val="10"/>
              </w:numPr>
              <w:jc w:val="both"/>
              <w:rPr>
                <w:sz w:val="18"/>
                <w:szCs w:val="18"/>
              </w:rPr>
            </w:pPr>
            <w:r>
              <w:rPr>
                <w:sz w:val="18"/>
                <w:szCs w:val="18"/>
              </w:rPr>
              <w:t>Their limited influence suggests that the specific values of these variables fell within typical operating ranges and did not provide strong discriminatory power for this particular instance.</w:t>
            </w:r>
          </w:p>
          <w:p w14:paraId="042C550C" w14:textId="77777777" w:rsidR="00714E88" w:rsidRDefault="00000000">
            <w:pPr>
              <w:pStyle w:val="TSP42tablebody"/>
              <w:jc w:val="both"/>
              <w:rPr>
                <w:b/>
                <w:bCs/>
                <w:sz w:val="18"/>
                <w:szCs w:val="18"/>
              </w:rPr>
            </w:pPr>
            <w:r>
              <w:rPr>
                <w:b/>
                <w:bCs/>
                <w:sz w:val="18"/>
                <w:szCs w:val="18"/>
              </w:rPr>
              <w:t>4. Decision Logic</w:t>
            </w:r>
          </w:p>
          <w:p w14:paraId="33C7572C" w14:textId="77777777" w:rsidR="00714E88" w:rsidRDefault="00000000" w:rsidP="00B1418D">
            <w:pPr>
              <w:pStyle w:val="TSP42tablebody"/>
              <w:numPr>
                <w:ilvl w:val="0"/>
                <w:numId w:val="8"/>
              </w:numPr>
              <w:jc w:val="both"/>
              <w:rPr>
                <w:sz w:val="18"/>
                <w:szCs w:val="18"/>
              </w:rPr>
            </w:pPr>
            <w:r>
              <w:rPr>
                <w:sz w:val="18"/>
                <w:szCs w:val="18"/>
              </w:rPr>
              <w:t>The SHAP analysis highlights a clear decision pathway:</w:t>
            </w:r>
          </w:p>
          <w:p w14:paraId="0167F41A" w14:textId="77777777" w:rsidR="00714E88" w:rsidRDefault="00000000" w:rsidP="00B1418D">
            <w:pPr>
              <w:pStyle w:val="TSP42tablebody"/>
              <w:numPr>
                <w:ilvl w:val="0"/>
                <w:numId w:val="11"/>
              </w:numPr>
              <w:jc w:val="both"/>
              <w:rPr>
                <w:sz w:val="18"/>
                <w:szCs w:val="18"/>
              </w:rPr>
            </w:pPr>
            <w:r>
              <w:rPr>
                <w:b/>
                <w:bCs/>
                <w:sz w:val="18"/>
                <w:szCs w:val="18"/>
              </w:rPr>
              <w:t>Primary evidence</w:t>
            </w:r>
            <w:r>
              <w:rPr>
                <w:sz w:val="18"/>
                <w:szCs w:val="18"/>
              </w:rPr>
              <w:t xml:space="preserve"> – Elevated CO levels and typical fuel consumption patterns were the decisive indicators strongly aligned with a </w:t>
            </w:r>
            <w:proofErr w:type="gramStart"/>
            <w:r>
              <w:rPr>
                <w:i/>
                <w:iCs/>
                <w:sz w:val="18"/>
                <w:szCs w:val="18"/>
              </w:rPr>
              <w:t>No Fault</w:t>
            </w:r>
            <w:proofErr w:type="gramEnd"/>
            <w:r>
              <w:rPr>
                <w:sz w:val="18"/>
                <w:szCs w:val="18"/>
              </w:rPr>
              <w:t xml:space="preserve"> state.</w:t>
            </w:r>
          </w:p>
          <w:p w14:paraId="0C0C3701" w14:textId="77777777" w:rsidR="00714E88" w:rsidRDefault="00000000" w:rsidP="00B1418D">
            <w:pPr>
              <w:pStyle w:val="TSP42tablebody"/>
              <w:numPr>
                <w:ilvl w:val="0"/>
                <w:numId w:val="11"/>
              </w:numPr>
              <w:jc w:val="both"/>
              <w:rPr>
                <w:sz w:val="18"/>
                <w:szCs w:val="18"/>
              </w:rPr>
            </w:pPr>
            <w:r>
              <w:rPr>
                <w:b/>
                <w:bCs/>
                <w:sz w:val="18"/>
                <w:szCs w:val="18"/>
              </w:rPr>
              <w:t>Reinforcing evidence</w:t>
            </w:r>
            <w:r>
              <w:rPr>
                <w:sz w:val="18"/>
                <w:szCs w:val="18"/>
              </w:rPr>
              <w:t xml:space="preserve"> – Hydrocarbon levels, torque (Force), oxygen concentration, and throttle position reinforced the interpretation of stable, efficient combustion without mixture imbalance.</w:t>
            </w:r>
          </w:p>
          <w:p w14:paraId="4BA6E5A0" w14:textId="77777777" w:rsidR="00714E88" w:rsidRDefault="00000000" w:rsidP="00B1418D">
            <w:pPr>
              <w:pStyle w:val="TSP42tablebody"/>
              <w:numPr>
                <w:ilvl w:val="0"/>
                <w:numId w:val="11"/>
              </w:numPr>
              <w:jc w:val="both"/>
              <w:rPr>
                <w:sz w:val="18"/>
                <w:szCs w:val="18"/>
              </w:rPr>
            </w:pPr>
            <w:r>
              <w:rPr>
                <w:b/>
                <w:bCs/>
                <w:sz w:val="18"/>
                <w:szCs w:val="18"/>
              </w:rPr>
              <w:t>Counteracting evidence</w:t>
            </w:r>
            <w:r>
              <w:rPr>
                <w:sz w:val="18"/>
                <w:szCs w:val="18"/>
              </w:rPr>
              <w:t xml:space="preserve"> – Reduced Power and low RPM suggested potential anomalies but were insufficient to outweigh the dominant positive signals.</w:t>
            </w:r>
          </w:p>
          <w:p w14:paraId="5CC3FC4F" w14:textId="77777777" w:rsidR="00714E88" w:rsidRDefault="00000000" w:rsidP="00B1418D">
            <w:pPr>
              <w:pStyle w:val="TSP42tablebody"/>
              <w:numPr>
                <w:ilvl w:val="0"/>
                <w:numId w:val="11"/>
              </w:numPr>
              <w:jc w:val="both"/>
              <w:rPr>
                <w:sz w:val="18"/>
                <w:szCs w:val="18"/>
              </w:rPr>
            </w:pPr>
            <w:r>
              <w:rPr>
                <w:b/>
                <w:bCs/>
                <w:sz w:val="18"/>
                <w:szCs w:val="18"/>
              </w:rPr>
              <w:t>Outcome</w:t>
            </w:r>
            <w:r>
              <w:rPr>
                <w:sz w:val="18"/>
                <w:szCs w:val="18"/>
              </w:rPr>
              <w:t xml:space="preserve"> – The aggregation of strong positive contributions from exhaust gas chemistry and fuel consumption features led to a highly confident assignment of this instance to the </w:t>
            </w:r>
            <w:r>
              <w:rPr>
                <w:b/>
                <w:bCs/>
                <w:sz w:val="18"/>
                <w:szCs w:val="18"/>
              </w:rPr>
              <w:t>No Fault</w:t>
            </w:r>
            <w:r>
              <w:rPr>
                <w:sz w:val="18"/>
                <w:szCs w:val="18"/>
              </w:rPr>
              <w:t xml:space="preserve"> category.</w:t>
            </w:r>
          </w:p>
          <w:p w14:paraId="65B3484D" w14:textId="77777777" w:rsidR="00714E88" w:rsidRDefault="00000000">
            <w:pPr>
              <w:pStyle w:val="TSP42tablebody"/>
              <w:jc w:val="both"/>
              <w:rPr>
                <w:b/>
                <w:bCs/>
                <w:sz w:val="18"/>
                <w:szCs w:val="18"/>
              </w:rPr>
            </w:pPr>
            <w:r>
              <w:rPr>
                <w:b/>
                <w:bCs/>
                <w:sz w:val="18"/>
                <w:szCs w:val="18"/>
              </w:rPr>
              <w:t>Conclusion</w:t>
            </w:r>
          </w:p>
          <w:p w14:paraId="29E99781" w14:textId="77777777" w:rsidR="00714E88" w:rsidRDefault="00000000" w:rsidP="00B1418D">
            <w:pPr>
              <w:pStyle w:val="TSP42tablebody"/>
              <w:numPr>
                <w:ilvl w:val="0"/>
                <w:numId w:val="8"/>
              </w:numPr>
              <w:jc w:val="both"/>
              <w:rPr>
                <w:sz w:val="18"/>
                <w:szCs w:val="18"/>
              </w:rPr>
            </w:pPr>
            <w:r>
              <w:rPr>
                <w:sz w:val="18"/>
                <w:szCs w:val="18"/>
              </w:rPr>
              <w:t xml:space="preserve">The SHAP explanation demonstrates that the classifier’s </w:t>
            </w:r>
            <w:proofErr w:type="gramStart"/>
            <w:r>
              <w:rPr>
                <w:i/>
                <w:iCs/>
                <w:sz w:val="18"/>
                <w:szCs w:val="18"/>
              </w:rPr>
              <w:t>No Fault</w:t>
            </w:r>
            <w:proofErr w:type="gramEnd"/>
            <w:r>
              <w:rPr>
                <w:sz w:val="18"/>
                <w:szCs w:val="18"/>
              </w:rPr>
              <w:t xml:space="preserve"> prediction was decisively driven by </w:t>
            </w:r>
            <w:r>
              <w:rPr>
                <w:b/>
                <w:bCs/>
                <w:sz w:val="18"/>
                <w:szCs w:val="18"/>
              </w:rPr>
              <w:t>CO concentration, fuel consumption metrics, and HC levels</w:t>
            </w:r>
            <w:r>
              <w:rPr>
                <w:sz w:val="18"/>
                <w:szCs w:val="18"/>
              </w:rPr>
              <w:t xml:space="preserve">, supplemented by supportive contributions from torque and O₂. Negative inputs such as Power and RPM modestly contested the decision but were overwhelmed by the dominant positive signals. This analysis confirms that the model interprets </w:t>
            </w:r>
            <w:r>
              <w:rPr>
                <w:b/>
                <w:bCs/>
                <w:sz w:val="18"/>
                <w:szCs w:val="18"/>
              </w:rPr>
              <w:t>normal combustion gas patterns and consistent fuel efficiency</w:t>
            </w:r>
            <w:r>
              <w:rPr>
                <w:sz w:val="18"/>
                <w:szCs w:val="18"/>
              </w:rPr>
              <w:t xml:space="preserve"> as the strongest local indicators of fault-free engine operation.</w:t>
            </w:r>
          </w:p>
        </w:tc>
      </w:tr>
    </w:tbl>
    <w:p w14:paraId="3D846A21" w14:textId="77777777" w:rsidR="00714E88" w:rsidRDefault="00000000">
      <w:pPr>
        <w:pStyle w:val="TSP41tablecaption"/>
        <w:jc w:val="center"/>
      </w:pPr>
      <w:r>
        <w:rPr>
          <w:b/>
        </w:rPr>
        <w:lastRenderedPageBreak/>
        <w:t xml:space="preserve">Table </w:t>
      </w:r>
      <w:r>
        <w:rPr>
          <w:rFonts w:eastAsia="Malgun Gothic" w:hint="eastAsia"/>
          <w:b/>
          <w:lang w:eastAsia="ko-KR"/>
        </w:rPr>
        <w:t>S3</w:t>
      </w:r>
      <w:r>
        <w:rPr>
          <w:b/>
        </w:rPr>
        <w:t xml:space="preserve">: </w:t>
      </w:r>
      <w:r>
        <w:rPr>
          <w:rFonts w:eastAsia="Malgun Gothic" w:hint="eastAsia"/>
          <w:lang w:eastAsia="ko-KR"/>
        </w:rPr>
        <w:t>Interpretation of LIME and SHAP analysis</w:t>
      </w:r>
      <w:r>
        <w:rPr>
          <w:rFonts w:eastAsia="Malgun Gothic"/>
          <w:lang w:eastAsia="ko-KR"/>
        </w:rPr>
        <w:t xml:space="preserve"> using the </w:t>
      </w:r>
      <w:r>
        <w:rPr>
          <w:rFonts w:eastAsia="Malgun Gothic" w:hint="eastAsia"/>
          <w:lang w:eastAsia="ko-KR"/>
        </w:rPr>
        <w:t>L</w:t>
      </w:r>
      <w:r>
        <w:rPr>
          <w:rFonts w:eastAsia="Malgun Gothic"/>
          <w:lang w:eastAsia="ko-KR"/>
        </w:rPr>
        <w:t>LM</w:t>
      </w:r>
      <w:r>
        <w:rPr>
          <w:rFonts w:eastAsia="Malgun Gothic" w:hint="eastAsia"/>
          <w:lang w:eastAsia="ko-KR"/>
        </w:rPr>
        <w:t xml:space="preserve"> </w:t>
      </w:r>
      <w:r>
        <w:rPr>
          <w:rFonts w:eastAsia="Malgun Gothic"/>
          <w:lang w:eastAsia="ko-KR"/>
        </w:rPr>
        <w:t>–</w:t>
      </w:r>
      <w:r>
        <w:rPr>
          <w:rFonts w:eastAsia="Malgun Gothic" w:hint="eastAsia"/>
          <w:lang w:eastAsia="ko-KR"/>
        </w:rPr>
        <w:t xml:space="preserve"> integrating Tables S1 and S2</w:t>
      </w:r>
    </w:p>
    <w:tbl>
      <w:tblPr>
        <w:tblW w:w="9361" w:type="dxa"/>
        <w:jc w:val="center"/>
        <w:tblBorders>
          <w:top w:val="single" w:sz="4" w:space="0" w:color="auto"/>
          <w:bottom w:val="single" w:sz="4" w:space="0" w:color="auto"/>
        </w:tblBorders>
        <w:tblLayout w:type="fixed"/>
        <w:tblCellMar>
          <w:left w:w="0" w:type="dxa"/>
          <w:right w:w="0" w:type="dxa"/>
        </w:tblCellMar>
        <w:tblLook w:val="04A0" w:firstRow="1" w:lastRow="0" w:firstColumn="1" w:lastColumn="0" w:noHBand="0" w:noVBand="1"/>
      </w:tblPr>
      <w:tblGrid>
        <w:gridCol w:w="9361"/>
      </w:tblGrid>
      <w:tr w:rsidR="00714E88" w14:paraId="3B436C8A" w14:textId="77777777">
        <w:trPr>
          <w:trHeight w:val="231"/>
          <w:jc w:val="center"/>
        </w:trPr>
        <w:tc>
          <w:tcPr>
            <w:tcW w:w="9361" w:type="dxa"/>
            <w:tcBorders>
              <w:top w:val="single" w:sz="4" w:space="0" w:color="auto"/>
              <w:bottom w:val="single" w:sz="4" w:space="0" w:color="auto"/>
            </w:tcBorders>
            <w:vAlign w:val="center"/>
          </w:tcPr>
          <w:p w14:paraId="1BE8564C" w14:textId="77777777" w:rsidR="00714E88" w:rsidRDefault="00000000">
            <w:pPr>
              <w:pStyle w:val="TSP42tablebody"/>
              <w:rPr>
                <w:rFonts w:eastAsia="Malgun Gothic"/>
                <w:b/>
                <w:bCs/>
                <w:sz w:val="18"/>
                <w:szCs w:val="18"/>
                <w:lang w:eastAsia="ko-KR"/>
              </w:rPr>
            </w:pPr>
            <w:r>
              <w:rPr>
                <w:rFonts w:eastAsia="Malgun Gothic" w:hint="eastAsia"/>
                <w:b/>
                <w:bCs/>
                <w:sz w:val="18"/>
                <w:szCs w:val="18"/>
                <w:lang w:eastAsia="ko-KR"/>
              </w:rPr>
              <w:t>Result</w:t>
            </w:r>
          </w:p>
        </w:tc>
      </w:tr>
      <w:tr w:rsidR="00714E88" w14:paraId="6A6F8445" w14:textId="77777777">
        <w:trPr>
          <w:trHeight w:val="137"/>
          <w:jc w:val="center"/>
        </w:trPr>
        <w:tc>
          <w:tcPr>
            <w:tcW w:w="9361" w:type="dxa"/>
            <w:tcBorders>
              <w:top w:val="single" w:sz="4" w:space="0" w:color="auto"/>
              <w:bottom w:val="single" w:sz="4" w:space="0" w:color="auto"/>
            </w:tcBorders>
            <w:vAlign w:val="center"/>
          </w:tcPr>
          <w:p w14:paraId="24A7B630" w14:textId="77777777" w:rsidR="00714E88" w:rsidRDefault="00000000">
            <w:pPr>
              <w:pStyle w:val="TSP42tablebody"/>
              <w:jc w:val="both"/>
              <w:rPr>
                <w:b/>
                <w:bCs/>
                <w:sz w:val="18"/>
                <w:szCs w:val="18"/>
              </w:rPr>
            </w:pPr>
            <w:r>
              <w:rPr>
                <w:b/>
                <w:bCs/>
                <w:sz w:val="18"/>
                <w:szCs w:val="18"/>
              </w:rPr>
              <w:t xml:space="preserve">Unified Local Diagnostic Report — </w:t>
            </w:r>
            <w:r>
              <w:rPr>
                <w:b/>
                <w:bCs/>
                <w:i/>
                <w:iCs/>
                <w:sz w:val="18"/>
                <w:szCs w:val="18"/>
              </w:rPr>
              <w:t>No Fault</w:t>
            </w:r>
            <w:r>
              <w:rPr>
                <w:b/>
                <w:bCs/>
                <w:sz w:val="18"/>
                <w:szCs w:val="18"/>
              </w:rPr>
              <w:t xml:space="preserve"> (VLM-LIME × SHAP)</w:t>
            </w:r>
          </w:p>
          <w:p w14:paraId="510510ED" w14:textId="77777777" w:rsidR="00714E88" w:rsidRDefault="00000000">
            <w:pPr>
              <w:pStyle w:val="TSP42tablebody"/>
              <w:jc w:val="both"/>
              <w:rPr>
                <w:b/>
                <w:bCs/>
                <w:sz w:val="18"/>
                <w:szCs w:val="18"/>
              </w:rPr>
            </w:pPr>
            <w:r>
              <w:rPr>
                <w:b/>
                <w:bCs/>
                <w:sz w:val="18"/>
                <w:szCs w:val="18"/>
              </w:rPr>
              <w:t>1) Summary of Predicted Class</w:t>
            </w:r>
          </w:p>
          <w:p w14:paraId="4A67247F" w14:textId="77777777" w:rsidR="00714E88" w:rsidRDefault="00000000" w:rsidP="00B1418D">
            <w:pPr>
              <w:pStyle w:val="TSP42tablebody"/>
              <w:numPr>
                <w:ilvl w:val="0"/>
                <w:numId w:val="12"/>
              </w:numPr>
              <w:jc w:val="both"/>
              <w:rPr>
                <w:sz w:val="18"/>
                <w:szCs w:val="18"/>
              </w:rPr>
            </w:pPr>
            <w:r>
              <w:rPr>
                <w:sz w:val="18"/>
                <w:szCs w:val="18"/>
              </w:rPr>
              <w:t xml:space="preserve">Both explanations agree that the instance is </w:t>
            </w:r>
            <w:r>
              <w:rPr>
                <w:b/>
                <w:bCs/>
                <w:sz w:val="18"/>
                <w:szCs w:val="18"/>
              </w:rPr>
              <w:t>No Fault</w:t>
            </w:r>
            <w:r>
              <w:rPr>
                <w:sz w:val="18"/>
                <w:szCs w:val="18"/>
              </w:rPr>
              <w:t xml:space="preserve">, with the classifier assigning </w:t>
            </w:r>
            <w:r>
              <w:rPr>
                <w:b/>
                <w:bCs/>
                <w:sz w:val="18"/>
                <w:szCs w:val="18"/>
              </w:rPr>
              <w:t>probability = 1.00</w:t>
            </w:r>
            <w:r>
              <w:rPr>
                <w:sz w:val="18"/>
                <w:szCs w:val="18"/>
              </w:rPr>
              <w:t xml:space="preserve">. The two methods describe a locally consistent pattern of </w:t>
            </w:r>
            <w:r>
              <w:rPr>
                <w:b/>
                <w:bCs/>
                <w:sz w:val="18"/>
                <w:szCs w:val="18"/>
              </w:rPr>
              <w:t>nominal combustion chemistry and plausible operating load/efficiency</w:t>
            </w:r>
            <w:r>
              <w:rPr>
                <w:sz w:val="18"/>
                <w:szCs w:val="18"/>
              </w:rPr>
              <w:t>, with only minor counter-signals.</w:t>
            </w:r>
          </w:p>
          <w:p w14:paraId="71EFF227" w14:textId="77777777" w:rsidR="00714E88" w:rsidRDefault="00000000">
            <w:pPr>
              <w:pStyle w:val="TSP42tablebody"/>
              <w:jc w:val="both"/>
              <w:rPr>
                <w:b/>
                <w:bCs/>
                <w:sz w:val="18"/>
                <w:szCs w:val="18"/>
              </w:rPr>
            </w:pPr>
            <w:r>
              <w:rPr>
                <w:b/>
                <w:bCs/>
                <w:sz w:val="18"/>
                <w:szCs w:val="18"/>
              </w:rPr>
              <w:t>2) Consistent Feature Contributions (strong, overlapping evidence)</w:t>
            </w:r>
          </w:p>
          <w:p w14:paraId="1D29B017" w14:textId="77777777" w:rsidR="00714E88" w:rsidRDefault="00000000" w:rsidP="00B1418D">
            <w:pPr>
              <w:pStyle w:val="TSP42tablebody"/>
              <w:numPr>
                <w:ilvl w:val="0"/>
                <w:numId w:val="12"/>
              </w:numPr>
              <w:jc w:val="both"/>
              <w:rPr>
                <w:sz w:val="18"/>
                <w:szCs w:val="18"/>
              </w:rPr>
            </w:pPr>
            <w:r>
              <w:rPr>
                <w:b/>
                <w:bCs/>
                <w:sz w:val="18"/>
                <w:szCs w:val="18"/>
              </w:rPr>
              <w:t>Fuel–efficiency profile</w:t>
            </w:r>
          </w:p>
          <w:p w14:paraId="635527D0" w14:textId="77777777" w:rsidR="00714E88" w:rsidRDefault="00000000" w:rsidP="00B1418D">
            <w:pPr>
              <w:pStyle w:val="TSP42tablebody"/>
              <w:numPr>
                <w:ilvl w:val="0"/>
                <w:numId w:val="12"/>
              </w:numPr>
              <w:jc w:val="both"/>
              <w:rPr>
                <w:sz w:val="18"/>
                <w:szCs w:val="18"/>
              </w:rPr>
            </w:pPr>
            <w:r>
              <w:rPr>
                <w:b/>
                <w:bCs/>
                <w:sz w:val="18"/>
                <w:szCs w:val="18"/>
              </w:rPr>
              <w:t>Consumption L/100KM</w:t>
            </w:r>
            <w:r>
              <w:rPr>
                <w:sz w:val="18"/>
                <w:szCs w:val="18"/>
              </w:rPr>
              <w:t xml:space="preserve">: Strongly </w:t>
            </w:r>
            <w:r>
              <w:rPr>
                <w:i/>
                <w:iCs/>
                <w:sz w:val="18"/>
                <w:szCs w:val="18"/>
              </w:rPr>
              <w:t>pro–No Fault</w:t>
            </w:r>
            <w:r>
              <w:rPr>
                <w:sz w:val="18"/>
                <w:szCs w:val="18"/>
              </w:rPr>
              <w:t xml:space="preserve"> in </w:t>
            </w:r>
            <w:r>
              <w:rPr>
                <w:b/>
                <w:bCs/>
                <w:sz w:val="18"/>
                <w:szCs w:val="18"/>
              </w:rPr>
              <w:t>both</w:t>
            </w:r>
            <w:r>
              <w:rPr>
                <w:sz w:val="18"/>
                <w:szCs w:val="18"/>
              </w:rPr>
              <w:t xml:space="preserve"> methods (LIME: +0.33; SHAP: +2.24).</w:t>
            </w:r>
          </w:p>
          <w:p w14:paraId="54E53F03" w14:textId="77777777" w:rsidR="00714E88" w:rsidRDefault="00000000" w:rsidP="00B1418D">
            <w:pPr>
              <w:pStyle w:val="TSP42tablebody"/>
              <w:numPr>
                <w:ilvl w:val="0"/>
                <w:numId w:val="12"/>
              </w:numPr>
              <w:jc w:val="both"/>
              <w:rPr>
                <w:sz w:val="18"/>
                <w:szCs w:val="18"/>
              </w:rPr>
            </w:pPr>
            <w:r>
              <w:rPr>
                <w:b/>
                <w:bCs/>
                <w:sz w:val="18"/>
                <w:szCs w:val="18"/>
              </w:rPr>
              <w:t>Consumption L/H</w:t>
            </w:r>
            <w:r>
              <w:rPr>
                <w:sz w:val="18"/>
                <w:szCs w:val="18"/>
              </w:rPr>
              <w:t xml:space="preserve">: Mild </w:t>
            </w:r>
            <w:r>
              <w:rPr>
                <w:i/>
                <w:iCs/>
                <w:sz w:val="18"/>
                <w:szCs w:val="18"/>
              </w:rPr>
              <w:t>pro–No Fault</w:t>
            </w:r>
            <w:r>
              <w:rPr>
                <w:sz w:val="18"/>
                <w:szCs w:val="18"/>
              </w:rPr>
              <w:t xml:space="preserve"> in </w:t>
            </w:r>
            <w:r>
              <w:rPr>
                <w:b/>
                <w:bCs/>
                <w:sz w:val="18"/>
                <w:szCs w:val="18"/>
              </w:rPr>
              <w:t>both</w:t>
            </w:r>
            <w:r>
              <w:rPr>
                <w:sz w:val="18"/>
                <w:szCs w:val="18"/>
              </w:rPr>
              <w:t xml:space="preserve"> methods (LIME: +0.06; SHAP: +0.36).</w:t>
            </w:r>
            <w:r>
              <w:rPr>
                <w:sz w:val="18"/>
                <w:szCs w:val="18"/>
              </w:rPr>
              <w:br/>
            </w:r>
            <w:r>
              <w:rPr>
                <w:i/>
                <w:iCs/>
                <w:sz w:val="18"/>
                <w:szCs w:val="18"/>
              </w:rPr>
              <w:t>Interpretation</w:t>
            </w:r>
            <w:r>
              <w:rPr>
                <w:sz w:val="18"/>
                <w:szCs w:val="18"/>
              </w:rPr>
              <w:t>: Distance- and time-normalized consumption sit in ranges the model associates with normal driving/combustion for this context.</w:t>
            </w:r>
          </w:p>
          <w:p w14:paraId="79AF37DE" w14:textId="77777777" w:rsidR="00714E88" w:rsidRDefault="00000000" w:rsidP="00B1418D">
            <w:pPr>
              <w:pStyle w:val="TSP42tablebody"/>
              <w:numPr>
                <w:ilvl w:val="0"/>
                <w:numId w:val="12"/>
              </w:numPr>
              <w:jc w:val="both"/>
              <w:rPr>
                <w:sz w:val="18"/>
                <w:szCs w:val="18"/>
              </w:rPr>
            </w:pPr>
            <w:r>
              <w:rPr>
                <w:b/>
                <w:bCs/>
                <w:sz w:val="18"/>
                <w:szCs w:val="18"/>
              </w:rPr>
              <w:t>Combustion by-products</w:t>
            </w:r>
          </w:p>
          <w:p w14:paraId="51FF416C" w14:textId="77777777" w:rsidR="00714E88" w:rsidRDefault="00000000" w:rsidP="00B1418D">
            <w:pPr>
              <w:pStyle w:val="TSP42tablebody"/>
              <w:numPr>
                <w:ilvl w:val="0"/>
                <w:numId w:val="13"/>
              </w:numPr>
              <w:jc w:val="both"/>
              <w:rPr>
                <w:sz w:val="18"/>
                <w:szCs w:val="18"/>
              </w:rPr>
            </w:pPr>
            <w:r>
              <w:rPr>
                <w:b/>
                <w:bCs/>
                <w:sz w:val="18"/>
                <w:szCs w:val="18"/>
              </w:rPr>
              <w:t>CO</w:t>
            </w:r>
            <w:r>
              <w:rPr>
                <w:sz w:val="18"/>
                <w:szCs w:val="18"/>
              </w:rPr>
              <w:t xml:space="preserve">: Strongly </w:t>
            </w:r>
            <w:r>
              <w:rPr>
                <w:i/>
                <w:iCs/>
                <w:sz w:val="18"/>
                <w:szCs w:val="18"/>
              </w:rPr>
              <w:t>pro–No Fault</w:t>
            </w:r>
            <w:r>
              <w:rPr>
                <w:sz w:val="18"/>
                <w:szCs w:val="18"/>
              </w:rPr>
              <w:t xml:space="preserve"> in </w:t>
            </w:r>
            <w:r>
              <w:rPr>
                <w:b/>
                <w:bCs/>
                <w:sz w:val="18"/>
                <w:szCs w:val="18"/>
              </w:rPr>
              <w:t>both</w:t>
            </w:r>
            <w:r>
              <w:rPr>
                <w:sz w:val="18"/>
                <w:szCs w:val="18"/>
              </w:rPr>
              <w:t xml:space="preserve"> (LIME: +0.28; SHAP: +6.13).</w:t>
            </w:r>
          </w:p>
          <w:p w14:paraId="487DBD27" w14:textId="77777777" w:rsidR="00714E88" w:rsidRDefault="00000000" w:rsidP="00B1418D">
            <w:pPr>
              <w:pStyle w:val="TSP42tablebody"/>
              <w:numPr>
                <w:ilvl w:val="0"/>
                <w:numId w:val="13"/>
              </w:numPr>
              <w:jc w:val="both"/>
              <w:rPr>
                <w:sz w:val="18"/>
                <w:szCs w:val="18"/>
              </w:rPr>
            </w:pPr>
            <w:r>
              <w:rPr>
                <w:b/>
                <w:bCs/>
                <w:sz w:val="18"/>
                <w:szCs w:val="18"/>
              </w:rPr>
              <w:t>HC</w:t>
            </w:r>
            <w:r>
              <w:rPr>
                <w:sz w:val="18"/>
                <w:szCs w:val="18"/>
              </w:rPr>
              <w:t xml:space="preserve">: Small–moderate </w:t>
            </w:r>
            <w:r>
              <w:rPr>
                <w:i/>
                <w:iCs/>
                <w:sz w:val="18"/>
                <w:szCs w:val="18"/>
              </w:rPr>
              <w:t>pro–No Fault</w:t>
            </w:r>
            <w:r>
              <w:rPr>
                <w:sz w:val="18"/>
                <w:szCs w:val="18"/>
              </w:rPr>
              <w:t xml:space="preserve"> in </w:t>
            </w:r>
            <w:r>
              <w:rPr>
                <w:b/>
                <w:bCs/>
                <w:sz w:val="18"/>
                <w:szCs w:val="18"/>
              </w:rPr>
              <w:t>both</w:t>
            </w:r>
            <w:r>
              <w:rPr>
                <w:sz w:val="18"/>
                <w:szCs w:val="18"/>
              </w:rPr>
              <w:t xml:space="preserve"> (LIME: +0.04; SHAP: +1.12).</w:t>
            </w:r>
            <w:r>
              <w:rPr>
                <w:sz w:val="18"/>
                <w:szCs w:val="18"/>
              </w:rPr>
              <w:br/>
            </w:r>
            <w:r>
              <w:rPr>
                <w:i/>
                <w:iCs/>
                <w:sz w:val="18"/>
                <w:szCs w:val="18"/>
              </w:rPr>
              <w:t>Interpretation</w:t>
            </w:r>
            <w:r>
              <w:rPr>
                <w:sz w:val="18"/>
                <w:szCs w:val="18"/>
              </w:rPr>
              <w:t>: CO and (to a lesser extent) HC match the normal class’s local signature for this operating regime.</w:t>
            </w:r>
          </w:p>
          <w:p w14:paraId="1ACE50BF" w14:textId="77777777" w:rsidR="00714E88" w:rsidRDefault="00000000" w:rsidP="00B1418D">
            <w:pPr>
              <w:pStyle w:val="TSP42tablebody"/>
              <w:numPr>
                <w:ilvl w:val="0"/>
                <w:numId w:val="12"/>
              </w:numPr>
              <w:jc w:val="both"/>
              <w:rPr>
                <w:sz w:val="18"/>
                <w:szCs w:val="18"/>
              </w:rPr>
            </w:pPr>
            <w:r>
              <w:rPr>
                <w:b/>
                <w:bCs/>
                <w:sz w:val="18"/>
                <w:szCs w:val="18"/>
              </w:rPr>
              <w:t>Load and actuation signals</w:t>
            </w:r>
          </w:p>
          <w:p w14:paraId="77FC5F1D" w14:textId="77777777" w:rsidR="00714E88" w:rsidRDefault="00000000" w:rsidP="00B1418D">
            <w:pPr>
              <w:pStyle w:val="TSP42tablebody"/>
              <w:numPr>
                <w:ilvl w:val="0"/>
                <w:numId w:val="14"/>
              </w:numPr>
              <w:jc w:val="both"/>
              <w:rPr>
                <w:sz w:val="18"/>
                <w:szCs w:val="18"/>
              </w:rPr>
            </w:pPr>
            <w:r>
              <w:rPr>
                <w:b/>
                <w:bCs/>
                <w:sz w:val="18"/>
                <w:szCs w:val="18"/>
              </w:rPr>
              <w:t>Force (engine torque)</w:t>
            </w:r>
            <w:r>
              <w:rPr>
                <w:sz w:val="18"/>
                <w:szCs w:val="18"/>
              </w:rPr>
              <w:t xml:space="preserve">: Positive in </w:t>
            </w:r>
            <w:r>
              <w:rPr>
                <w:b/>
                <w:bCs/>
                <w:sz w:val="18"/>
                <w:szCs w:val="18"/>
              </w:rPr>
              <w:t>both</w:t>
            </w:r>
            <w:r>
              <w:rPr>
                <w:sz w:val="18"/>
                <w:szCs w:val="18"/>
              </w:rPr>
              <w:t xml:space="preserve"> (LIME: +0.07; SHAP: +0.83).</w:t>
            </w:r>
          </w:p>
          <w:p w14:paraId="27D9D06D" w14:textId="77777777" w:rsidR="00714E88" w:rsidRDefault="00000000" w:rsidP="00B1418D">
            <w:pPr>
              <w:pStyle w:val="TSP42tablebody"/>
              <w:numPr>
                <w:ilvl w:val="0"/>
                <w:numId w:val="14"/>
              </w:numPr>
              <w:jc w:val="both"/>
              <w:rPr>
                <w:sz w:val="18"/>
                <w:szCs w:val="18"/>
              </w:rPr>
            </w:pPr>
            <w:r>
              <w:rPr>
                <w:b/>
                <w:bCs/>
                <w:sz w:val="18"/>
                <w:szCs w:val="18"/>
              </w:rPr>
              <w:t>TPS</w:t>
            </w:r>
            <w:r>
              <w:rPr>
                <w:sz w:val="18"/>
                <w:szCs w:val="18"/>
              </w:rPr>
              <w:t xml:space="preserve">: Near-zero/weak in </w:t>
            </w:r>
            <w:r>
              <w:rPr>
                <w:b/>
                <w:bCs/>
                <w:sz w:val="18"/>
                <w:szCs w:val="18"/>
              </w:rPr>
              <w:t>both</w:t>
            </w:r>
            <w:r>
              <w:rPr>
                <w:sz w:val="18"/>
                <w:szCs w:val="18"/>
              </w:rPr>
              <w:t xml:space="preserve"> (LIME: −0.02; SHAP: +0.36 but small relative to CO and L/100KM).</w:t>
            </w:r>
            <w:r>
              <w:rPr>
                <w:sz w:val="18"/>
                <w:szCs w:val="18"/>
              </w:rPr>
              <w:br/>
            </w:r>
            <w:r>
              <w:rPr>
                <w:i/>
                <w:iCs/>
                <w:sz w:val="18"/>
                <w:szCs w:val="18"/>
              </w:rPr>
              <w:t>Interpretation</w:t>
            </w:r>
            <w:r>
              <w:rPr>
                <w:sz w:val="18"/>
                <w:szCs w:val="18"/>
              </w:rPr>
              <w:t>: The observed torque and throttle settings reinforce normal operation but are not the primary drivers.</w:t>
            </w:r>
          </w:p>
          <w:p w14:paraId="6A1DA6DC" w14:textId="77777777" w:rsidR="00714E88" w:rsidRDefault="00000000" w:rsidP="00B1418D">
            <w:pPr>
              <w:pStyle w:val="TSP42tablebody"/>
              <w:numPr>
                <w:ilvl w:val="0"/>
                <w:numId w:val="12"/>
              </w:numPr>
              <w:jc w:val="both"/>
              <w:rPr>
                <w:sz w:val="18"/>
                <w:szCs w:val="18"/>
              </w:rPr>
            </w:pPr>
            <w:r>
              <w:rPr>
                <w:b/>
                <w:bCs/>
                <w:sz w:val="18"/>
                <w:szCs w:val="18"/>
              </w:rPr>
              <w:t>Counter-evidence aligned across methods</w:t>
            </w:r>
          </w:p>
          <w:p w14:paraId="0E9727C8" w14:textId="77777777" w:rsidR="00714E88" w:rsidRDefault="00000000" w:rsidP="00B1418D">
            <w:pPr>
              <w:pStyle w:val="TSP42tablebody"/>
              <w:numPr>
                <w:ilvl w:val="0"/>
                <w:numId w:val="15"/>
              </w:numPr>
              <w:jc w:val="both"/>
              <w:rPr>
                <w:sz w:val="18"/>
                <w:szCs w:val="18"/>
              </w:rPr>
            </w:pPr>
            <w:r>
              <w:rPr>
                <w:b/>
                <w:bCs/>
                <w:sz w:val="18"/>
                <w:szCs w:val="18"/>
              </w:rPr>
              <w:lastRenderedPageBreak/>
              <w:t>Power</w:t>
            </w:r>
            <w:r>
              <w:rPr>
                <w:sz w:val="18"/>
                <w:szCs w:val="18"/>
              </w:rPr>
              <w:t xml:space="preserve">: Negative in </w:t>
            </w:r>
            <w:r>
              <w:rPr>
                <w:b/>
                <w:bCs/>
                <w:sz w:val="18"/>
                <w:szCs w:val="18"/>
              </w:rPr>
              <w:t>both</w:t>
            </w:r>
            <w:r>
              <w:rPr>
                <w:sz w:val="18"/>
                <w:szCs w:val="18"/>
              </w:rPr>
              <w:t xml:space="preserve"> (LIME: −0.11; SHAP: −0.61).</w:t>
            </w:r>
          </w:p>
          <w:p w14:paraId="57DDDFAC" w14:textId="77777777" w:rsidR="00714E88" w:rsidRDefault="00000000" w:rsidP="00B1418D">
            <w:pPr>
              <w:pStyle w:val="TSP42tablebody"/>
              <w:numPr>
                <w:ilvl w:val="0"/>
                <w:numId w:val="15"/>
              </w:numPr>
              <w:jc w:val="both"/>
              <w:rPr>
                <w:sz w:val="18"/>
                <w:szCs w:val="18"/>
              </w:rPr>
            </w:pPr>
            <w:r>
              <w:rPr>
                <w:b/>
                <w:bCs/>
                <w:sz w:val="18"/>
                <w:szCs w:val="18"/>
              </w:rPr>
              <w:t>RPM</w:t>
            </w:r>
            <w:r>
              <w:rPr>
                <w:sz w:val="18"/>
                <w:szCs w:val="18"/>
              </w:rPr>
              <w:t xml:space="preserve">: Slightly negative in </w:t>
            </w:r>
            <w:r>
              <w:rPr>
                <w:b/>
                <w:bCs/>
                <w:sz w:val="18"/>
                <w:szCs w:val="18"/>
              </w:rPr>
              <w:t>both</w:t>
            </w:r>
            <w:r>
              <w:rPr>
                <w:sz w:val="18"/>
                <w:szCs w:val="18"/>
              </w:rPr>
              <w:t xml:space="preserve"> (LIME: −0.01; SHAP: −0.15).</w:t>
            </w:r>
            <w:r>
              <w:rPr>
                <w:sz w:val="18"/>
                <w:szCs w:val="18"/>
              </w:rPr>
              <w:br/>
            </w:r>
            <w:r>
              <w:rPr>
                <w:i/>
                <w:iCs/>
                <w:sz w:val="18"/>
                <w:szCs w:val="18"/>
              </w:rPr>
              <w:t>Interpretation</w:t>
            </w:r>
            <w:r>
              <w:rPr>
                <w:sz w:val="18"/>
                <w:szCs w:val="18"/>
              </w:rPr>
              <w:t>: Load/speed are a little atypical for the normal pattern but too weak to overturn the dominant pro-normal cues.</w:t>
            </w:r>
          </w:p>
          <w:p w14:paraId="75DAB647" w14:textId="77777777" w:rsidR="00714E88" w:rsidRDefault="00000000">
            <w:pPr>
              <w:pStyle w:val="TSP42tablebody"/>
              <w:jc w:val="both"/>
              <w:rPr>
                <w:b/>
                <w:bCs/>
                <w:sz w:val="18"/>
                <w:szCs w:val="18"/>
              </w:rPr>
            </w:pPr>
            <w:r>
              <w:rPr>
                <w:b/>
                <w:bCs/>
                <w:sz w:val="18"/>
                <w:szCs w:val="18"/>
              </w:rPr>
              <w:t>3) Method-Specific Insights (differences, reconciliations)</w:t>
            </w:r>
          </w:p>
          <w:p w14:paraId="628FB81A" w14:textId="77777777" w:rsidR="00714E88" w:rsidRDefault="00000000" w:rsidP="00B1418D">
            <w:pPr>
              <w:pStyle w:val="TSP42tablebody"/>
              <w:numPr>
                <w:ilvl w:val="0"/>
                <w:numId w:val="12"/>
              </w:numPr>
              <w:jc w:val="both"/>
              <w:rPr>
                <w:sz w:val="18"/>
                <w:szCs w:val="18"/>
              </w:rPr>
            </w:pPr>
            <w:r>
              <w:rPr>
                <w:b/>
                <w:bCs/>
                <w:sz w:val="18"/>
                <w:szCs w:val="18"/>
              </w:rPr>
              <w:t>O₂ directionality</w:t>
            </w:r>
          </w:p>
          <w:p w14:paraId="3E96B674" w14:textId="77777777" w:rsidR="00714E88" w:rsidRDefault="00000000" w:rsidP="00B1418D">
            <w:pPr>
              <w:pStyle w:val="TSP42tablebody"/>
              <w:numPr>
                <w:ilvl w:val="0"/>
                <w:numId w:val="16"/>
              </w:numPr>
              <w:jc w:val="both"/>
              <w:rPr>
                <w:sz w:val="18"/>
                <w:szCs w:val="18"/>
              </w:rPr>
            </w:pPr>
            <w:r>
              <w:rPr>
                <w:b/>
                <w:bCs/>
                <w:sz w:val="18"/>
                <w:szCs w:val="18"/>
              </w:rPr>
              <w:t>LIME</w:t>
            </w:r>
            <w:r>
              <w:rPr>
                <w:sz w:val="18"/>
                <w:szCs w:val="18"/>
              </w:rPr>
              <w:t xml:space="preserve">: Rule 0.22 &lt; O₂ ≤ 0.35 gives a small </w:t>
            </w:r>
            <w:r>
              <w:rPr>
                <w:i/>
                <w:iCs/>
                <w:sz w:val="18"/>
                <w:szCs w:val="18"/>
              </w:rPr>
              <w:t>negative</w:t>
            </w:r>
            <w:r>
              <w:rPr>
                <w:sz w:val="18"/>
                <w:szCs w:val="18"/>
              </w:rPr>
              <w:t xml:space="preserve"> weight (−0.03).</w:t>
            </w:r>
          </w:p>
          <w:p w14:paraId="36E26765" w14:textId="77777777" w:rsidR="00714E88" w:rsidRDefault="00000000" w:rsidP="00B1418D">
            <w:pPr>
              <w:pStyle w:val="TSP42tablebody"/>
              <w:numPr>
                <w:ilvl w:val="0"/>
                <w:numId w:val="16"/>
              </w:numPr>
              <w:jc w:val="both"/>
              <w:rPr>
                <w:sz w:val="18"/>
                <w:szCs w:val="18"/>
              </w:rPr>
            </w:pPr>
            <w:r>
              <w:rPr>
                <w:b/>
                <w:bCs/>
                <w:sz w:val="18"/>
                <w:szCs w:val="18"/>
              </w:rPr>
              <w:t>SHAP</w:t>
            </w:r>
            <w:r>
              <w:rPr>
                <w:sz w:val="18"/>
                <w:szCs w:val="18"/>
              </w:rPr>
              <w:t xml:space="preserve">: </w:t>
            </w:r>
            <w:r>
              <w:rPr>
                <w:b/>
                <w:bCs/>
                <w:sz w:val="18"/>
                <w:szCs w:val="18"/>
              </w:rPr>
              <w:t>O₂</w:t>
            </w:r>
            <w:r>
              <w:rPr>
                <w:sz w:val="18"/>
                <w:szCs w:val="18"/>
              </w:rPr>
              <w:t xml:space="preserve"> contributes </w:t>
            </w:r>
            <w:r>
              <w:rPr>
                <w:i/>
                <w:iCs/>
                <w:sz w:val="18"/>
                <w:szCs w:val="18"/>
              </w:rPr>
              <w:t>positively</w:t>
            </w:r>
            <w:r>
              <w:rPr>
                <w:sz w:val="18"/>
                <w:szCs w:val="18"/>
              </w:rPr>
              <w:t xml:space="preserve"> (+0.56).</w:t>
            </w:r>
            <w:r>
              <w:rPr>
                <w:sz w:val="18"/>
                <w:szCs w:val="18"/>
              </w:rPr>
              <w:br/>
            </w:r>
            <w:r>
              <w:rPr>
                <w:i/>
                <w:iCs/>
                <w:sz w:val="18"/>
                <w:szCs w:val="18"/>
              </w:rPr>
              <w:t>Reconciliation</w:t>
            </w:r>
            <w:r>
              <w:rPr>
                <w:sz w:val="18"/>
                <w:szCs w:val="18"/>
              </w:rPr>
              <w:t>:</w:t>
            </w:r>
            <w:r>
              <w:rPr>
                <w:sz w:val="18"/>
                <w:szCs w:val="18"/>
              </w:rPr>
              <w:br/>
              <w:t xml:space="preserve">LIME encodes a </w:t>
            </w:r>
            <w:proofErr w:type="spellStart"/>
            <w:r>
              <w:rPr>
                <w:i/>
                <w:iCs/>
                <w:sz w:val="18"/>
                <w:szCs w:val="18"/>
              </w:rPr>
              <w:t>thresholded</w:t>
            </w:r>
            <w:proofErr w:type="spellEnd"/>
            <w:r>
              <w:rPr>
                <w:sz w:val="18"/>
                <w:szCs w:val="18"/>
              </w:rPr>
              <w:t xml:space="preserve"> local rule; the specific bin slightly disfavors </w:t>
            </w:r>
            <w:r>
              <w:rPr>
                <w:i/>
                <w:iCs/>
                <w:sz w:val="18"/>
                <w:szCs w:val="18"/>
              </w:rPr>
              <w:t>No Fault</w:t>
            </w:r>
            <w:r>
              <w:rPr>
                <w:sz w:val="18"/>
                <w:szCs w:val="18"/>
              </w:rPr>
              <w:t xml:space="preserve"> in the local surrogate. SHAP quantifies the </w:t>
            </w:r>
            <w:r>
              <w:rPr>
                <w:b/>
                <w:bCs/>
                <w:sz w:val="18"/>
                <w:szCs w:val="18"/>
              </w:rPr>
              <w:t>marginal contribution at the exact value</w:t>
            </w:r>
            <w:r>
              <w:rPr>
                <w:sz w:val="18"/>
                <w:szCs w:val="18"/>
              </w:rPr>
              <w:t xml:space="preserve">, accounting for interactions with CO/HC/consumption. Given CO and consumption are strongly pro-normal, the model’s learned interactions allow this O₂ value to function as </w:t>
            </w:r>
            <w:r>
              <w:rPr>
                <w:b/>
                <w:bCs/>
                <w:sz w:val="18"/>
                <w:szCs w:val="18"/>
              </w:rPr>
              <w:t>stabilizing evidence</w:t>
            </w:r>
            <w:r>
              <w:rPr>
                <w:sz w:val="18"/>
                <w:szCs w:val="18"/>
              </w:rPr>
              <w:t xml:space="preserve"> in SHAP, while LIME’s coarse bin shows a mild penalty. Both magnitudes are small compared with CO and L/100KM, so the discrepancy is not decision-relevant.</w:t>
            </w:r>
          </w:p>
          <w:p w14:paraId="26A54CB5" w14:textId="77777777" w:rsidR="00714E88" w:rsidRDefault="00000000" w:rsidP="00B1418D">
            <w:pPr>
              <w:pStyle w:val="TSP42tablebody"/>
              <w:numPr>
                <w:ilvl w:val="0"/>
                <w:numId w:val="12"/>
              </w:numPr>
              <w:jc w:val="both"/>
              <w:rPr>
                <w:sz w:val="18"/>
                <w:szCs w:val="18"/>
              </w:rPr>
            </w:pPr>
            <w:r>
              <w:rPr>
                <w:b/>
                <w:bCs/>
                <w:sz w:val="18"/>
                <w:szCs w:val="18"/>
              </w:rPr>
              <w:t>CO₂ and MAP presence</w:t>
            </w:r>
          </w:p>
          <w:p w14:paraId="2E7C8C61" w14:textId="77777777" w:rsidR="00714E88" w:rsidRDefault="00000000" w:rsidP="00B1418D">
            <w:pPr>
              <w:pStyle w:val="TSP42tablebody"/>
              <w:numPr>
                <w:ilvl w:val="0"/>
                <w:numId w:val="17"/>
              </w:numPr>
              <w:jc w:val="both"/>
              <w:rPr>
                <w:sz w:val="18"/>
                <w:szCs w:val="18"/>
              </w:rPr>
            </w:pPr>
            <w:r>
              <w:rPr>
                <w:b/>
                <w:bCs/>
                <w:sz w:val="18"/>
                <w:szCs w:val="18"/>
              </w:rPr>
              <w:t>SHAP</w:t>
            </w:r>
            <w:r>
              <w:rPr>
                <w:sz w:val="18"/>
                <w:szCs w:val="18"/>
              </w:rPr>
              <w:t xml:space="preserve"> assigns small positive contributions (</w:t>
            </w:r>
            <w:r>
              <w:rPr>
                <w:b/>
                <w:bCs/>
                <w:sz w:val="18"/>
                <w:szCs w:val="18"/>
              </w:rPr>
              <w:t>CO₂</w:t>
            </w:r>
            <w:r>
              <w:rPr>
                <w:sz w:val="18"/>
                <w:szCs w:val="18"/>
              </w:rPr>
              <w:t xml:space="preserve"> +0.26; </w:t>
            </w:r>
            <w:r>
              <w:rPr>
                <w:b/>
                <w:bCs/>
                <w:sz w:val="18"/>
                <w:szCs w:val="18"/>
              </w:rPr>
              <w:t>MAP</w:t>
            </w:r>
            <w:r>
              <w:rPr>
                <w:sz w:val="18"/>
                <w:szCs w:val="18"/>
              </w:rPr>
              <w:t xml:space="preserve"> +0.23), whereas </w:t>
            </w:r>
            <w:r>
              <w:rPr>
                <w:b/>
                <w:bCs/>
                <w:sz w:val="18"/>
                <w:szCs w:val="18"/>
              </w:rPr>
              <w:t>LIME</w:t>
            </w:r>
            <w:r>
              <w:rPr>
                <w:sz w:val="18"/>
                <w:szCs w:val="18"/>
              </w:rPr>
              <w:t xml:space="preserve"> lists them but with very small effects (MAP +0.02; CO₂ absent among top rules).</w:t>
            </w:r>
            <w:r>
              <w:rPr>
                <w:sz w:val="18"/>
                <w:szCs w:val="18"/>
              </w:rPr>
              <w:br/>
            </w:r>
            <w:r>
              <w:rPr>
                <w:i/>
                <w:iCs/>
                <w:sz w:val="18"/>
                <w:szCs w:val="18"/>
              </w:rPr>
              <w:t>Reconciliation</w:t>
            </w:r>
            <w:r>
              <w:rPr>
                <w:sz w:val="18"/>
                <w:szCs w:val="18"/>
              </w:rPr>
              <w:t>: SHAP captures incremental gains from these signals once dominant features are accounted for; LIME’s sparse rule set emphasizes only the largest local splits.</w:t>
            </w:r>
          </w:p>
          <w:p w14:paraId="7B2229CB" w14:textId="77777777" w:rsidR="00714E88" w:rsidRDefault="00000000" w:rsidP="00B1418D">
            <w:pPr>
              <w:pStyle w:val="TSP42tablebody"/>
              <w:numPr>
                <w:ilvl w:val="0"/>
                <w:numId w:val="12"/>
              </w:numPr>
              <w:jc w:val="both"/>
              <w:rPr>
                <w:sz w:val="18"/>
                <w:szCs w:val="18"/>
              </w:rPr>
            </w:pPr>
            <w:r>
              <w:rPr>
                <w:b/>
                <w:bCs/>
                <w:sz w:val="18"/>
                <w:szCs w:val="18"/>
              </w:rPr>
              <w:t>Granularity of negatives</w:t>
            </w:r>
          </w:p>
          <w:p w14:paraId="68AA58AA" w14:textId="77777777" w:rsidR="00714E88" w:rsidRDefault="00000000" w:rsidP="00B1418D">
            <w:pPr>
              <w:pStyle w:val="TSP42tablebody"/>
              <w:numPr>
                <w:ilvl w:val="0"/>
                <w:numId w:val="18"/>
              </w:numPr>
              <w:jc w:val="both"/>
              <w:rPr>
                <w:sz w:val="18"/>
                <w:szCs w:val="18"/>
              </w:rPr>
            </w:pPr>
            <w:r>
              <w:rPr>
                <w:sz w:val="18"/>
                <w:szCs w:val="18"/>
              </w:rPr>
              <w:t xml:space="preserve">LIME surfaces </w:t>
            </w:r>
            <w:r>
              <w:rPr>
                <w:b/>
                <w:bCs/>
                <w:sz w:val="18"/>
                <w:szCs w:val="18"/>
              </w:rPr>
              <w:t>TPS</w:t>
            </w:r>
            <w:r>
              <w:rPr>
                <w:sz w:val="18"/>
                <w:szCs w:val="18"/>
              </w:rPr>
              <w:t xml:space="preserve"> and </w:t>
            </w:r>
            <w:r>
              <w:rPr>
                <w:b/>
                <w:bCs/>
                <w:sz w:val="18"/>
                <w:szCs w:val="18"/>
              </w:rPr>
              <w:t>RPM</w:t>
            </w:r>
            <w:r>
              <w:rPr>
                <w:sz w:val="18"/>
                <w:szCs w:val="18"/>
              </w:rPr>
              <w:t xml:space="preserve"> as near-zero negatives; SHAP quantifies their slight negative (RPM) or modest positive (TPS) impact with precise magnitudes.</w:t>
            </w:r>
            <w:r>
              <w:rPr>
                <w:sz w:val="18"/>
                <w:szCs w:val="18"/>
              </w:rPr>
              <w:br/>
            </w:r>
            <w:r>
              <w:rPr>
                <w:i/>
                <w:iCs/>
                <w:sz w:val="18"/>
                <w:szCs w:val="18"/>
              </w:rPr>
              <w:t>Reconciliation</w:t>
            </w:r>
            <w:r>
              <w:rPr>
                <w:sz w:val="18"/>
                <w:szCs w:val="18"/>
              </w:rPr>
              <w:t>: Differences reflect representation (binary rule vs. additive marginal value), not opposing model beliefs.</w:t>
            </w:r>
          </w:p>
          <w:p w14:paraId="6A185EC7" w14:textId="77777777" w:rsidR="00714E88" w:rsidRDefault="00000000">
            <w:pPr>
              <w:pStyle w:val="TSP42tablebody"/>
              <w:jc w:val="both"/>
              <w:rPr>
                <w:b/>
                <w:bCs/>
                <w:sz w:val="18"/>
                <w:szCs w:val="18"/>
              </w:rPr>
            </w:pPr>
            <w:r>
              <w:rPr>
                <w:b/>
                <w:bCs/>
                <w:sz w:val="18"/>
                <w:szCs w:val="18"/>
              </w:rPr>
              <w:t>4) Integrated Decision Logic (combined reasoning)</w:t>
            </w:r>
          </w:p>
          <w:p w14:paraId="43F8DD26" w14:textId="77777777" w:rsidR="00714E88" w:rsidRDefault="00000000" w:rsidP="00B1418D">
            <w:pPr>
              <w:pStyle w:val="TSP42tablebody"/>
              <w:numPr>
                <w:ilvl w:val="0"/>
                <w:numId w:val="19"/>
              </w:numPr>
              <w:jc w:val="both"/>
              <w:rPr>
                <w:sz w:val="18"/>
                <w:szCs w:val="18"/>
              </w:rPr>
            </w:pPr>
            <w:r>
              <w:rPr>
                <w:b/>
                <w:bCs/>
                <w:sz w:val="18"/>
                <w:szCs w:val="18"/>
              </w:rPr>
              <w:t>Primary evidence</w:t>
            </w:r>
            <w:r>
              <w:rPr>
                <w:sz w:val="18"/>
                <w:szCs w:val="18"/>
              </w:rPr>
              <w:t xml:space="preserve"> — </w:t>
            </w:r>
            <w:r>
              <w:rPr>
                <w:b/>
                <w:bCs/>
                <w:sz w:val="18"/>
                <w:szCs w:val="18"/>
              </w:rPr>
              <w:t>CO</w:t>
            </w:r>
            <w:r>
              <w:rPr>
                <w:sz w:val="18"/>
                <w:szCs w:val="18"/>
              </w:rPr>
              <w:t xml:space="preserve"> and </w:t>
            </w:r>
            <w:r>
              <w:rPr>
                <w:b/>
                <w:bCs/>
                <w:sz w:val="18"/>
                <w:szCs w:val="18"/>
              </w:rPr>
              <w:t>Consumption L/100KM</w:t>
            </w:r>
            <w:r>
              <w:rPr>
                <w:sz w:val="18"/>
                <w:szCs w:val="18"/>
              </w:rPr>
              <w:t xml:space="preserve"> jointly pull the prediction strongly toward </w:t>
            </w:r>
            <w:r>
              <w:rPr>
                <w:i/>
                <w:iCs/>
                <w:sz w:val="18"/>
                <w:szCs w:val="18"/>
              </w:rPr>
              <w:t>No Fault</w:t>
            </w:r>
            <w:r>
              <w:rPr>
                <w:sz w:val="18"/>
                <w:szCs w:val="18"/>
              </w:rPr>
              <w:t>. They define the dominant local signature of normal combustion and efficiency in this operating regime.</w:t>
            </w:r>
          </w:p>
          <w:p w14:paraId="3D48C103" w14:textId="77777777" w:rsidR="00714E88" w:rsidRDefault="00000000" w:rsidP="00B1418D">
            <w:pPr>
              <w:pStyle w:val="TSP42tablebody"/>
              <w:numPr>
                <w:ilvl w:val="0"/>
                <w:numId w:val="19"/>
              </w:numPr>
              <w:jc w:val="both"/>
              <w:rPr>
                <w:sz w:val="18"/>
                <w:szCs w:val="18"/>
              </w:rPr>
            </w:pPr>
            <w:r>
              <w:rPr>
                <w:b/>
                <w:bCs/>
                <w:sz w:val="18"/>
                <w:szCs w:val="18"/>
              </w:rPr>
              <w:t>Reinforcement</w:t>
            </w:r>
            <w:r>
              <w:rPr>
                <w:sz w:val="18"/>
                <w:szCs w:val="18"/>
              </w:rPr>
              <w:t xml:space="preserve"> — </w:t>
            </w:r>
            <w:r>
              <w:rPr>
                <w:b/>
                <w:bCs/>
                <w:sz w:val="18"/>
                <w:szCs w:val="18"/>
              </w:rPr>
              <w:t>HC</w:t>
            </w:r>
            <w:r>
              <w:rPr>
                <w:sz w:val="18"/>
                <w:szCs w:val="18"/>
              </w:rPr>
              <w:t xml:space="preserve">, </w:t>
            </w:r>
            <w:r>
              <w:rPr>
                <w:b/>
                <w:bCs/>
                <w:sz w:val="18"/>
                <w:szCs w:val="18"/>
              </w:rPr>
              <w:t>Force</w:t>
            </w:r>
            <w:r>
              <w:rPr>
                <w:sz w:val="18"/>
                <w:szCs w:val="18"/>
              </w:rPr>
              <w:t xml:space="preserve">, </w:t>
            </w:r>
            <w:r>
              <w:rPr>
                <w:b/>
                <w:bCs/>
                <w:sz w:val="18"/>
                <w:szCs w:val="18"/>
              </w:rPr>
              <w:t>Consumption L/H</w:t>
            </w:r>
            <w:r>
              <w:rPr>
                <w:sz w:val="18"/>
                <w:szCs w:val="18"/>
              </w:rPr>
              <w:t xml:space="preserve">, and (per SHAP) modest positive inputs from </w:t>
            </w:r>
            <w:r>
              <w:rPr>
                <w:b/>
                <w:bCs/>
                <w:sz w:val="18"/>
                <w:szCs w:val="18"/>
              </w:rPr>
              <w:t>O₂</w:t>
            </w:r>
            <w:r>
              <w:rPr>
                <w:sz w:val="18"/>
                <w:szCs w:val="18"/>
              </w:rPr>
              <w:t xml:space="preserve">, </w:t>
            </w:r>
            <w:r>
              <w:rPr>
                <w:b/>
                <w:bCs/>
                <w:sz w:val="18"/>
                <w:szCs w:val="18"/>
              </w:rPr>
              <w:t>CO₂</w:t>
            </w:r>
            <w:r>
              <w:rPr>
                <w:sz w:val="18"/>
                <w:szCs w:val="18"/>
              </w:rPr>
              <w:t xml:space="preserve">, and </w:t>
            </w:r>
            <w:r>
              <w:rPr>
                <w:b/>
                <w:bCs/>
                <w:sz w:val="18"/>
                <w:szCs w:val="18"/>
              </w:rPr>
              <w:t>MAP</w:t>
            </w:r>
            <w:r>
              <w:rPr>
                <w:sz w:val="18"/>
                <w:szCs w:val="18"/>
              </w:rPr>
              <w:t xml:space="preserve"> consolidate the normal profile.</w:t>
            </w:r>
          </w:p>
          <w:p w14:paraId="2B217180" w14:textId="77777777" w:rsidR="00714E88" w:rsidRDefault="00000000" w:rsidP="00B1418D">
            <w:pPr>
              <w:pStyle w:val="TSP42tablebody"/>
              <w:numPr>
                <w:ilvl w:val="0"/>
                <w:numId w:val="19"/>
              </w:numPr>
              <w:jc w:val="both"/>
              <w:rPr>
                <w:sz w:val="18"/>
                <w:szCs w:val="18"/>
              </w:rPr>
            </w:pPr>
            <w:r>
              <w:rPr>
                <w:b/>
                <w:bCs/>
                <w:sz w:val="18"/>
                <w:szCs w:val="18"/>
              </w:rPr>
              <w:t>Counter-signals</w:t>
            </w:r>
            <w:r>
              <w:rPr>
                <w:sz w:val="18"/>
                <w:szCs w:val="18"/>
              </w:rPr>
              <w:t xml:space="preserve"> — Slightly elevated </w:t>
            </w:r>
            <w:r>
              <w:rPr>
                <w:b/>
                <w:bCs/>
                <w:sz w:val="18"/>
                <w:szCs w:val="18"/>
              </w:rPr>
              <w:t>Power</w:t>
            </w:r>
            <w:r>
              <w:rPr>
                <w:sz w:val="18"/>
                <w:szCs w:val="18"/>
              </w:rPr>
              <w:t xml:space="preserve"> and </w:t>
            </w:r>
            <w:r>
              <w:rPr>
                <w:b/>
                <w:bCs/>
                <w:sz w:val="18"/>
                <w:szCs w:val="18"/>
              </w:rPr>
              <w:t>low RPM contribution</w:t>
            </w:r>
            <w:r>
              <w:rPr>
                <w:sz w:val="18"/>
                <w:szCs w:val="18"/>
              </w:rPr>
              <w:t xml:space="preserve"> act against </w:t>
            </w:r>
            <w:r>
              <w:rPr>
                <w:i/>
                <w:iCs/>
                <w:sz w:val="18"/>
                <w:szCs w:val="18"/>
              </w:rPr>
              <w:t>No Fault</w:t>
            </w:r>
            <w:r>
              <w:rPr>
                <w:sz w:val="18"/>
                <w:szCs w:val="18"/>
              </w:rPr>
              <w:t xml:space="preserve">, but their magnitudes are minor relative to the primary evidence. The LIME bin for </w:t>
            </w:r>
            <w:r>
              <w:rPr>
                <w:b/>
                <w:bCs/>
                <w:sz w:val="18"/>
                <w:szCs w:val="18"/>
              </w:rPr>
              <w:t>O₂</w:t>
            </w:r>
            <w:r>
              <w:rPr>
                <w:sz w:val="18"/>
                <w:szCs w:val="18"/>
              </w:rPr>
              <w:t xml:space="preserve"> slightly disfavors </w:t>
            </w:r>
            <w:r>
              <w:rPr>
                <w:i/>
                <w:iCs/>
                <w:sz w:val="18"/>
                <w:szCs w:val="18"/>
              </w:rPr>
              <w:t>No Fault</w:t>
            </w:r>
            <w:r>
              <w:rPr>
                <w:sz w:val="18"/>
                <w:szCs w:val="18"/>
              </w:rPr>
              <w:t xml:space="preserve">, yet SHAP shows that, given the observed CO/consumption context, the </w:t>
            </w:r>
            <w:r>
              <w:rPr>
                <w:b/>
                <w:bCs/>
                <w:sz w:val="18"/>
                <w:szCs w:val="18"/>
              </w:rPr>
              <w:t>exact O₂ value</w:t>
            </w:r>
            <w:r>
              <w:rPr>
                <w:sz w:val="18"/>
                <w:szCs w:val="18"/>
              </w:rPr>
              <w:t xml:space="preserve"> mildly supports normality.</w:t>
            </w:r>
          </w:p>
          <w:p w14:paraId="3D0BF412" w14:textId="77777777" w:rsidR="00714E88" w:rsidRDefault="00000000" w:rsidP="00B1418D">
            <w:pPr>
              <w:pStyle w:val="TSP42tablebody"/>
              <w:numPr>
                <w:ilvl w:val="0"/>
                <w:numId w:val="19"/>
              </w:numPr>
              <w:jc w:val="both"/>
              <w:rPr>
                <w:sz w:val="18"/>
                <w:szCs w:val="18"/>
              </w:rPr>
            </w:pPr>
            <w:r>
              <w:rPr>
                <w:b/>
                <w:bCs/>
                <w:sz w:val="18"/>
                <w:szCs w:val="18"/>
              </w:rPr>
              <w:t>Net outcome</w:t>
            </w:r>
            <w:r>
              <w:rPr>
                <w:sz w:val="18"/>
                <w:szCs w:val="18"/>
              </w:rPr>
              <w:t xml:space="preserve"> — Aggregating these contributions yields a </w:t>
            </w:r>
            <w:r>
              <w:rPr>
                <w:b/>
                <w:bCs/>
                <w:sz w:val="18"/>
                <w:szCs w:val="18"/>
              </w:rPr>
              <w:t>decisive margin for No Fault (p=1.00)</w:t>
            </w:r>
            <w:r>
              <w:rPr>
                <w:sz w:val="18"/>
                <w:szCs w:val="18"/>
              </w:rPr>
              <w:t>. The small discrepancies arise from method design (</w:t>
            </w:r>
            <w:proofErr w:type="spellStart"/>
            <w:r>
              <w:rPr>
                <w:sz w:val="18"/>
                <w:szCs w:val="18"/>
              </w:rPr>
              <w:t>thresholded</w:t>
            </w:r>
            <w:proofErr w:type="spellEnd"/>
            <w:r>
              <w:rPr>
                <w:sz w:val="18"/>
                <w:szCs w:val="18"/>
              </w:rPr>
              <w:t xml:space="preserve"> rules vs. additive marginal effects with interactions) and do not affect the final classification.</w:t>
            </w:r>
          </w:p>
          <w:p w14:paraId="0E9F35B4" w14:textId="77777777" w:rsidR="00714E88" w:rsidRDefault="00000000">
            <w:pPr>
              <w:pStyle w:val="TSP42tablebody"/>
              <w:jc w:val="both"/>
              <w:rPr>
                <w:rFonts w:eastAsiaTheme="minorEastAsia"/>
                <w:b/>
                <w:bCs/>
                <w:sz w:val="18"/>
                <w:szCs w:val="18"/>
                <w:lang w:eastAsia="ko-KR"/>
              </w:rPr>
            </w:pPr>
            <w:r>
              <w:rPr>
                <w:b/>
                <w:bCs/>
                <w:sz w:val="18"/>
                <w:szCs w:val="18"/>
              </w:rPr>
              <w:t>5) Conclusion</w:t>
            </w:r>
          </w:p>
          <w:p w14:paraId="0CDBE1BB" w14:textId="77777777" w:rsidR="00714E88" w:rsidRDefault="00000000" w:rsidP="00B1418D">
            <w:pPr>
              <w:pStyle w:val="TSP42tablebody"/>
              <w:numPr>
                <w:ilvl w:val="0"/>
                <w:numId w:val="12"/>
              </w:numPr>
              <w:jc w:val="both"/>
              <w:rPr>
                <w:sz w:val="18"/>
                <w:szCs w:val="18"/>
              </w:rPr>
            </w:pPr>
            <w:r>
              <w:rPr>
                <w:sz w:val="18"/>
                <w:szCs w:val="18"/>
              </w:rPr>
              <w:t xml:space="preserve">Both LIME and SHAP converge on a </w:t>
            </w:r>
            <w:r>
              <w:rPr>
                <w:b/>
                <w:bCs/>
                <w:sz w:val="18"/>
                <w:szCs w:val="18"/>
              </w:rPr>
              <w:t>fault-free</w:t>
            </w:r>
            <w:r>
              <w:rPr>
                <w:sz w:val="18"/>
                <w:szCs w:val="18"/>
              </w:rPr>
              <w:t xml:space="preserve"> diagnosis driven chiefly by </w:t>
            </w:r>
            <w:r>
              <w:rPr>
                <w:b/>
                <w:bCs/>
                <w:sz w:val="18"/>
                <w:szCs w:val="18"/>
              </w:rPr>
              <w:t>CO</w:t>
            </w:r>
            <w:r>
              <w:rPr>
                <w:sz w:val="18"/>
                <w:szCs w:val="18"/>
              </w:rPr>
              <w:t xml:space="preserve"> and </w:t>
            </w:r>
            <w:r>
              <w:rPr>
                <w:b/>
                <w:bCs/>
                <w:sz w:val="18"/>
                <w:szCs w:val="18"/>
              </w:rPr>
              <w:t>fuel-consumption metrics</w:t>
            </w:r>
            <w:r>
              <w:rPr>
                <w:sz w:val="18"/>
                <w:szCs w:val="18"/>
              </w:rPr>
              <w:t xml:space="preserve">, with </w:t>
            </w:r>
            <w:r>
              <w:rPr>
                <w:b/>
                <w:bCs/>
                <w:sz w:val="18"/>
                <w:szCs w:val="18"/>
              </w:rPr>
              <w:t>HC</w:t>
            </w:r>
            <w:r>
              <w:rPr>
                <w:sz w:val="18"/>
                <w:szCs w:val="18"/>
              </w:rPr>
              <w:t xml:space="preserve"> and </w:t>
            </w:r>
            <w:r>
              <w:rPr>
                <w:b/>
                <w:bCs/>
                <w:sz w:val="18"/>
                <w:szCs w:val="18"/>
              </w:rPr>
              <w:t>Force</w:t>
            </w:r>
            <w:r>
              <w:rPr>
                <w:sz w:val="18"/>
                <w:szCs w:val="18"/>
              </w:rPr>
              <w:t xml:space="preserve"> as supportive cues. Minor counter-evidence from </w:t>
            </w:r>
            <w:r>
              <w:rPr>
                <w:b/>
                <w:bCs/>
                <w:sz w:val="18"/>
                <w:szCs w:val="18"/>
              </w:rPr>
              <w:t>Power/RPM</w:t>
            </w:r>
            <w:r>
              <w:rPr>
                <w:sz w:val="18"/>
                <w:szCs w:val="18"/>
              </w:rPr>
              <w:t xml:space="preserve"> and the LIME binning of </w:t>
            </w:r>
            <w:r>
              <w:rPr>
                <w:b/>
                <w:bCs/>
                <w:sz w:val="18"/>
                <w:szCs w:val="18"/>
              </w:rPr>
              <w:t>O₂</w:t>
            </w:r>
            <w:r>
              <w:rPr>
                <w:sz w:val="18"/>
                <w:szCs w:val="18"/>
              </w:rPr>
              <w:t xml:space="preserve"> is outweighed by dominant pro-normal signals. Methodological differences explain the small O₂ discrepancy; the unified interpretation remains internally consistent and supports the model’s </w:t>
            </w:r>
            <w:r>
              <w:rPr>
                <w:b/>
                <w:bCs/>
                <w:sz w:val="18"/>
                <w:szCs w:val="18"/>
              </w:rPr>
              <w:t>high-confidence No Fault</w:t>
            </w:r>
            <w:r>
              <w:rPr>
                <w:sz w:val="18"/>
                <w:szCs w:val="18"/>
              </w:rPr>
              <w:t xml:space="preserve"> decision for this instance.</w:t>
            </w:r>
          </w:p>
        </w:tc>
      </w:tr>
    </w:tbl>
    <w:p w14:paraId="533233E4" w14:textId="77777777" w:rsidR="00714E88" w:rsidRDefault="00000000">
      <w:pPr>
        <w:pStyle w:val="a"/>
        <w:spacing w:before="240" w:line="276" w:lineRule="auto"/>
        <w:rPr>
          <w:rFonts w:ascii="Times New Roman" w:eastAsiaTheme="majorHAnsi" w:hAnsi="Times New Roman" w:cs="Times New Roman"/>
        </w:rPr>
      </w:pPr>
      <w:r>
        <w:rPr>
          <w:rFonts w:ascii="Times New Roman" w:eastAsiaTheme="majorHAnsi" w:hAnsi="Times New Roman" w:cs="Times New Roman"/>
          <w:noProof/>
        </w:rPr>
        <w:lastRenderedPageBreak/>
        <w:drawing>
          <wp:inline distT="0" distB="0" distL="0" distR="0" wp14:anchorId="26CC994F" wp14:editId="12222F10">
            <wp:extent cx="5731510" cy="2114550"/>
            <wp:effectExtent l="0" t="0" r="2540" b="0"/>
            <wp:docPr id="1235369490" name="그림 4" descr="텍스트, 스크린샷, 도표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369490" name="그림 4" descr="텍스트, 스크린샷, 도표이(가) 표시된 사진&#10;&#10;AI 생성 콘텐츠는 정확하지 않을 수 있습니다."/>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731510" cy="2114550"/>
                    </a:xfrm>
                    <a:prstGeom prst="rect">
                      <a:avLst/>
                    </a:prstGeom>
                    <a:noFill/>
                    <a:ln>
                      <a:noFill/>
                    </a:ln>
                  </pic:spPr>
                </pic:pic>
              </a:graphicData>
            </a:graphic>
          </wp:inline>
        </w:drawing>
      </w:r>
    </w:p>
    <w:p w14:paraId="47FD9016" w14:textId="77777777" w:rsidR="00714E88" w:rsidRDefault="00000000">
      <w:pPr>
        <w:pStyle w:val="TSP52figure"/>
        <w:rPr>
          <w:rFonts w:eastAsia="Malgun Gothic"/>
          <w:lang w:eastAsia="ko-KR"/>
        </w:rPr>
      </w:pPr>
      <w:r>
        <w:rPr>
          <w:b/>
        </w:rPr>
        <w:lastRenderedPageBreak/>
        <w:t xml:space="preserve">Figure </w:t>
      </w:r>
      <w:r>
        <w:rPr>
          <w:rFonts w:eastAsiaTheme="minorEastAsia" w:hint="eastAsia"/>
          <w:b/>
          <w:lang w:eastAsia="ko-KR"/>
        </w:rPr>
        <w:t>S3</w:t>
      </w:r>
      <w:r>
        <w:rPr>
          <w:b/>
        </w:rPr>
        <w:t xml:space="preserve">: </w:t>
      </w:r>
      <w:r>
        <w:rPr>
          <w:rFonts w:eastAsia="Malgun Gothic" w:hint="eastAsia"/>
          <w:lang w:eastAsia="ko-KR"/>
        </w:rPr>
        <w:t xml:space="preserve">LIME plot of proposed method </w:t>
      </w:r>
      <w:r>
        <w:rPr>
          <w:rFonts w:eastAsia="Malgun Gothic"/>
          <w:lang w:eastAsia="ko-KR"/>
        </w:rPr>
        <w:t>–</w:t>
      </w:r>
      <w:r>
        <w:rPr>
          <w:rFonts w:eastAsia="Malgun Gothic" w:hint="eastAsia"/>
          <w:lang w:eastAsia="ko-KR"/>
        </w:rPr>
        <w:t xml:space="preserve"> classified as Rich Mixture</w:t>
      </w:r>
    </w:p>
    <w:p w14:paraId="658D8929" w14:textId="77777777" w:rsidR="00714E88" w:rsidRDefault="00000000">
      <w:pPr>
        <w:pStyle w:val="TSP41tablecaption"/>
        <w:jc w:val="center"/>
      </w:pPr>
      <w:r>
        <w:rPr>
          <w:b/>
        </w:rPr>
        <w:t xml:space="preserve">Table </w:t>
      </w:r>
      <w:r>
        <w:rPr>
          <w:rFonts w:eastAsia="Malgun Gothic" w:hint="eastAsia"/>
          <w:b/>
          <w:lang w:eastAsia="ko-KR"/>
        </w:rPr>
        <w:t>S4</w:t>
      </w:r>
      <w:r>
        <w:rPr>
          <w:b/>
        </w:rPr>
        <w:t xml:space="preserve">: </w:t>
      </w:r>
      <w:r>
        <w:rPr>
          <w:rFonts w:eastAsia="Malgun Gothic" w:hint="eastAsia"/>
          <w:lang w:eastAsia="ko-KR"/>
        </w:rPr>
        <w:t>Interpretation of LIME analysis</w:t>
      </w:r>
      <w:r>
        <w:rPr>
          <w:rFonts w:eastAsia="Malgun Gothic"/>
          <w:lang w:eastAsia="ko-KR"/>
        </w:rPr>
        <w:t xml:space="preserve"> using the </w:t>
      </w:r>
      <w:r>
        <w:rPr>
          <w:rFonts w:eastAsia="Malgun Gothic" w:hint="eastAsia"/>
          <w:lang w:eastAsia="ko-KR"/>
        </w:rPr>
        <w:t>V</w:t>
      </w:r>
      <w:r>
        <w:rPr>
          <w:rFonts w:eastAsia="Malgun Gothic"/>
          <w:lang w:eastAsia="ko-KR"/>
        </w:rPr>
        <w:t>LM</w:t>
      </w:r>
      <w:r>
        <w:rPr>
          <w:rFonts w:eastAsia="Malgun Gothic" w:hint="eastAsia"/>
          <w:lang w:eastAsia="ko-KR"/>
        </w:rPr>
        <w:t xml:space="preserve"> </w:t>
      </w:r>
      <w:r>
        <w:rPr>
          <w:rFonts w:eastAsia="Malgun Gothic"/>
          <w:lang w:eastAsia="ko-KR"/>
        </w:rPr>
        <w:t>–</w:t>
      </w:r>
      <w:r>
        <w:rPr>
          <w:rFonts w:eastAsia="Malgun Gothic" w:hint="eastAsia"/>
          <w:lang w:eastAsia="ko-KR"/>
        </w:rPr>
        <w:t xml:space="preserve"> corresponding to Figure S3</w:t>
      </w:r>
    </w:p>
    <w:tbl>
      <w:tblPr>
        <w:tblW w:w="9361" w:type="dxa"/>
        <w:jc w:val="center"/>
        <w:tblBorders>
          <w:top w:val="single" w:sz="4" w:space="0" w:color="auto"/>
          <w:bottom w:val="single" w:sz="4" w:space="0" w:color="auto"/>
        </w:tblBorders>
        <w:tblLayout w:type="fixed"/>
        <w:tblCellMar>
          <w:left w:w="0" w:type="dxa"/>
          <w:right w:w="0" w:type="dxa"/>
        </w:tblCellMar>
        <w:tblLook w:val="04A0" w:firstRow="1" w:lastRow="0" w:firstColumn="1" w:lastColumn="0" w:noHBand="0" w:noVBand="1"/>
      </w:tblPr>
      <w:tblGrid>
        <w:gridCol w:w="9361"/>
      </w:tblGrid>
      <w:tr w:rsidR="00714E88" w14:paraId="37C609E7" w14:textId="77777777">
        <w:trPr>
          <w:trHeight w:val="231"/>
          <w:jc w:val="center"/>
        </w:trPr>
        <w:tc>
          <w:tcPr>
            <w:tcW w:w="9361" w:type="dxa"/>
            <w:tcBorders>
              <w:top w:val="single" w:sz="4" w:space="0" w:color="auto"/>
              <w:bottom w:val="single" w:sz="4" w:space="0" w:color="auto"/>
            </w:tcBorders>
            <w:vAlign w:val="center"/>
          </w:tcPr>
          <w:p w14:paraId="01D3DCB0" w14:textId="77777777" w:rsidR="00714E88" w:rsidRDefault="00000000">
            <w:pPr>
              <w:pStyle w:val="TSP42tablebody"/>
              <w:rPr>
                <w:rFonts w:eastAsia="Malgun Gothic"/>
                <w:b/>
                <w:bCs/>
                <w:sz w:val="18"/>
                <w:szCs w:val="18"/>
                <w:lang w:eastAsia="ko-KR"/>
              </w:rPr>
            </w:pPr>
            <w:r>
              <w:rPr>
                <w:rFonts w:eastAsia="Malgun Gothic" w:hint="eastAsia"/>
                <w:b/>
                <w:bCs/>
                <w:sz w:val="18"/>
                <w:szCs w:val="18"/>
                <w:lang w:eastAsia="ko-KR"/>
              </w:rPr>
              <w:t>Result</w:t>
            </w:r>
          </w:p>
        </w:tc>
      </w:tr>
      <w:tr w:rsidR="00714E88" w14:paraId="0E3AAB6F" w14:textId="77777777">
        <w:trPr>
          <w:trHeight w:val="137"/>
          <w:jc w:val="center"/>
        </w:trPr>
        <w:tc>
          <w:tcPr>
            <w:tcW w:w="9361" w:type="dxa"/>
            <w:tcBorders>
              <w:top w:val="single" w:sz="4" w:space="0" w:color="auto"/>
              <w:bottom w:val="single" w:sz="4" w:space="0" w:color="auto"/>
            </w:tcBorders>
            <w:vAlign w:val="center"/>
          </w:tcPr>
          <w:p w14:paraId="4376C514" w14:textId="77777777" w:rsidR="00714E88" w:rsidRDefault="00000000">
            <w:pPr>
              <w:pStyle w:val="TSP42tablebody"/>
              <w:jc w:val="both"/>
              <w:rPr>
                <w:b/>
                <w:bCs/>
                <w:sz w:val="18"/>
                <w:szCs w:val="18"/>
              </w:rPr>
            </w:pPr>
            <w:r>
              <w:rPr>
                <w:b/>
                <w:bCs/>
                <w:sz w:val="18"/>
                <w:szCs w:val="18"/>
              </w:rPr>
              <w:t xml:space="preserve">Local Explanation of LIME Output for Instance Classified as </w:t>
            </w:r>
            <w:r>
              <w:rPr>
                <w:b/>
                <w:bCs/>
                <w:i/>
                <w:iCs/>
                <w:sz w:val="18"/>
                <w:szCs w:val="18"/>
              </w:rPr>
              <w:t>Rich Mixture</w:t>
            </w:r>
          </w:p>
          <w:p w14:paraId="3E7358CC" w14:textId="77777777" w:rsidR="00714E88" w:rsidRDefault="00000000">
            <w:pPr>
              <w:pStyle w:val="TSP42tablebody"/>
              <w:jc w:val="both"/>
              <w:rPr>
                <w:b/>
                <w:bCs/>
                <w:sz w:val="18"/>
                <w:szCs w:val="18"/>
              </w:rPr>
            </w:pPr>
            <w:r>
              <w:rPr>
                <w:b/>
                <w:bCs/>
                <w:sz w:val="18"/>
                <w:szCs w:val="18"/>
              </w:rPr>
              <w:t>1. Key Features</w:t>
            </w:r>
          </w:p>
          <w:p w14:paraId="6A225D5A" w14:textId="77777777" w:rsidR="00714E88" w:rsidRDefault="00000000" w:rsidP="00B1418D">
            <w:pPr>
              <w:pStyle w:val="TSP42tablebody"/>
              <w:numPr>
                <w:ilvl w:val="0"/>
                <w:numId w:val="20"/>
              </w:numPr>
              <w:jc w:val="both"/>
              <w:rPr>
                <w:sz w:val="18"/>
                <w:szCs w:val="18"/>
              </w:rPr>
            </w:pPr>
            <w:r>
              <w:rPr>
                <w:sz w:val="18"/>
                <w:szCs w:val="18"/>
              </w:rPr>
              <w:t xml:space="preserve">The model classified this instance as </w:t>
            </w:r>
            <w:r>
              <w:rPr>
                <w:b/>
                <w:bCs/>
                <w:sz w:val="18"/>
                <w:szCs w:val="18"/>
              </w:rPr>
              <w:t>Rich Mixture</w:t>
            </w:r>
            <w:r>
              <w:rPr>
                <w:sz w:val="18"/>
                <w:szCs w:val="18"/>
              </w:rPr>
              <w:t xml:space="preserve"> with maximum confidence (probability = 1.00). The most influential features identified by LIME include both strong positive and negative contributions:</w:t>
            </w:r>
          </w:p>
          <w:p w14:paraId="43643E54" w14:textId="77777777" w:rsidR="00714E88" w:rsidRDefault="00000000" w:rsidP="00B1418D">
            <w:pPr>
              <w:pStyle w:val="TSP42tablebody"/>
              <w:numPr>
                <w:ilvl w:val="0"/>
                <w:numId w:val="20"/>
              </w:numPr>
              <w:jc w:val="both"/>
              <w:rPr>
                <w:sz w:val="18"/>
                <w:szCs w:val="18"/>
              </w:rPr>
            </w:pPr>
            <w:r>
              <w:rPr>
                <w:b/>
                <w:bCs/>
                <w:sz w:val="18"/>
                <w:szCs w:val="18"/>
              </w:rPr>
              <w:t>Positive contributions (supporting Rich Mixture):</w:t>
            </w:r>
          </w:p>
          <w:p w14:paraId="77B80749" w14:textId="77777777" w:rsidR="00714E88" w:rsidRDefault="00000000" w:rsidP="00B1418D">
            <w:pPr>
              <w:pStyle w:val="TSP42tablebody"/>
              <w:numPr>
                <w:ilvl w:val="1"/>
                <w:numId w:val="20"/>
              </w:numPr>
              <w:jc w:val="both"/>
              <w:rPr>
                <w:sz w:val="18"/>
                <w:szCs w:val="18"/>
              </w:rPr>
            </w:pPr>
            <w:r>
              <w:rPr>
                <w:b/>
                <w:bCs/>
                <w:sz w:val="18"/>
                <w:szCs w:val="18"/>
              </w:rPr>
              <w:t>O₂ &gt; 0.63</w:t>
            </w:r>
            <w:r>
              <w:rPr>
                <w:sz w:val="18"/>
                <w:szCs w:val="18"/>
              </w:rPr>
              <w:t xml:space="preserve"> contributed most strongly (</w:t>
            </w:r>
            <w:r>
              <w:rPr>
                <w:b/>
                <w:bCs/>
                <w:sz w:val="18"/>
                <w:szCs w:val="18"/>
              </w:rPr>
              <w:t>+0.14</w:t>
            </w:r>
            <w:r>
              <w:rPr>
                <w:sz w:val="18"/>
                <w:szCs w:val="18"/>
              </w:rPr>
              <w:t>), indicating elevated oxygen sensor readings aligned with the model’s characterization of a rich mixture.</w:t>
            </w:r>
          </w:p>
          <w:p w14:paraId="69FC7580" w14:textId="77777777" w:rsidR="00714E88" w:rsidRDefault="00000000" w:rsidP="00B1418D">
            <w:pPr>
              <w:pStyle w:val="TSP42tablebody"/>
              <w:numPr>
                <w:ilvl w:val="1"/>
                <w:numId w:val="20"/>
              </w:numPr>
              <w:jc w:val="both"/>
              <w:rPr>
                <w:sz w:val="18"/>
                <w:szCs w:val="18"/>
              </w:rPr>
            </w:pPr>
            <w:r>
              <w:rPr>
                <w:b/>
                <w:bCs/>
                <w:sz w:val="18"/>
                <w:szCs w:val="18"/>
              </w:rPr>
              <w:t>CO₂ &gt; 0.77</w:t>
            </w:r>
            <w:r>
              <w:rPr>
                <w:sz w:val="18"/>
                <w:szCs w:val="18"/>
              </w:rPr>
              <w:t xml:space="preserve"> also provided a substantial positive effect (</w:t>
            </w:r>
            <w:r>
              <w:rPr>
                <w:b/>
                <w:bCs/>
                <w:sz w:val="18"/>
                <w:szCs w:val="18"/>
              </w:rPr>
              <w:t>+0.10</w:t>
            </w:r>
            <w:r>
              <w:rPr>
                <w:sz w:val="18"/>
                <w:szCs w:val="18"/>
              </w:rPr>
              <w:t>), reflecting high combustion by-products consistent with excess fuel.</w:t>
            </w:r>
          </w:p>
          <w:p w14:paraId="1534A49E" w14:textId="77777777" w:rsidR="00714E88" w:rsidRDefault="00000000" w:rsidP="00B1418D">
            <w:pPr>
              <w:pStyle w:val="TSP42tablebody"/>
              <w:numPr>
                <w:ilvl w:val="1"/>
                <w:numId w:val="20"/>
              </w:numPr>
              <w:jc w:val="both"/>
              <w:rPr>
                <w:sz w:val="18"/>
                <w:szCs w:val="18"/>
              </w:rPr>
            </w:pPr>
            <w:r>
              <w:rPr>
                <w:b/>
                <w:bCs/>
                <w:sz w:val="18"/>
                <w:szCs w:val="18"/>
              </w:rPr>
              <w:t>0.02 &lt; CO ≤ 0.07</w:t>
            </w:r>
            <w:r>
              <w:rPr>
                <w:sz w:val="18"/>
                <w:szCs w:val="18"/>
              </w:rPr>
              <w:t xml:space="preserve"> added further positive weight (</w:t>
            </w:r>
            <w:r>
              <w:rPr>
                <w:b/>
                <w:bCs/>
                <w:sz w:val="18"/>
                <w:szCs w:val="18"/>
              </w:rPr>
              <w:t>+0.06</w:t>
            </w:r>
            <w:r>
              <w:rPr>
                <w:sz w:val="18"/>
                <w:szCs w:val="18"/>
              </w:rPr>
              <w:t>), suggesting low to moderate CO within the threshold range.</w:t>
            </w:r>
          </w:p>
          <w:p w14:paraId="1F9BF134" w14:textId="77777777" w:rsidR="00714E88" w:rsidRDefault="00000000" w:rsidP="00B1418D">
            <w:pPr>
              <w:pStyle w:val="TSP42tablebody"/>
              <w:numPr>
                <w:ilvl w:val="1"/>
                <w:numId w:val="20"/>
              </w:numPr>
              <w:jc w:val="both"/>
              <w:rPr>
                <w:sz w:val="18"/>
                <w:szCs w:val="18"/>
              </w:rPr>
            </w:pPr>
            <w:r>
              <w:rPr>
                <w:b/>
                <w:bCs/>
                <w:sz w:val="18"/>
                <w:szCs w:val="18"/>
              </w:rPr>
              <w:t>Force (0.05–0.06)</w:t>
            </w:r>
            <w:r>
              <w:rPr>
                <w:sz w:val="18"/>
                <w:szCs w:val="18"/>
              </w:rPr>
              <w:t xml:space="preserve">, </w:t>
            </w:r>
            <w:r>
              <w:rPr>
                <w:b/>
                <w:bCs/>
                <w:sz w:val="18"/>
                <w:szCs w:val="18"/>
              </w:rPr>
              <w:t>MAP (0.19–0.27)</w:t>
            </w:r>
            <w:r>
              <w:rPr>
                <w:sz w:val="18"/>
                <w:szCs w:val="18"/>
              </w:rPr>
              <w:t xml:space="preserve">, and </w:t>
            </w:r>
            <w:r>
              <w:rPr>
                <w:b/>
                <w:bCs/>
                <w:sz w:val="18"/>
                <w:szCs w:val="18"/>
              </w:rPr>
              <w:t>Power (0.02–0.06)</w:t>
            </w:r>
            <w:r>
              <w:rPr>
                <w:sz w:val="18"/>
                <w:szCs w:val="18"/>
              </w:rPr>
              <w:t xml:space="preserve"> each contributed smaller but reinforcing positive effects (</w:t>
            </w:r>
            <w:r>
              <w:rPr>
                <w:b/>
                <w:bCs/>
                <w:sz w:val="18"/>
                <w:szCs w:val="18"/>
              </w:rPr>
              <w:t>+0.04, +0.03, +0.03</w:t>
            </w:r>
            <w:r>
              <w:rPr>
                <w:sz w:val="18"/>
                <w:szCs w:val="18"/>
              </w:rPr>
              <w:t>, respectively).</w:t>
            </w:r>
          </w:p>
          <w:p w14:paraId="3C812D62" w14:textId="77777777" w:rsidR="00714E88" w:rsidRDefault="00000000" w:rsidP="00B1418D">
            <w:pPr>
              <w:pStyle w:val="TSP42tablebody"/>
              <w:numPr>
                <w:ilvl w:val="1"/>
                <w:numId w:val="20"/>
              </w:numPr>
              <w:jc w:val="both"/>
              <w:rPr>
                <w:sz w:val="18"/>
                <w:szCs w:val="18"/>
              </w:rPr>
            </w:pPr>
            <w:r>
              <w:rPr>
                <w:b/>
                <w:bCs/>
                <w:sz w:val="18"/>
                <w:szCs w:val="18"/>
              </w:rPr>
              <w:t>Lambda (0.62–0.69)</w:t>
            </w:r>
            <w:r>
              <w:rPr>
                <w:sz w:val="18"/>
                <w:szCs w:val="18"/>
              </w:rPr>
              <w:t xml:space="preserve"> and </w:t>
            </w:r>
            <w:r>
              <w:rPr>
                <w:b/>
                <w:bCs/>
                <w:sz w:val="18"/>
                <w:szCs w:val="18"/>
              </w:rPr>
              <w:t>AFR (0.62–0.69)</w:t>
            </w:r>
            <w:r>
              <w:rPr>
                <w:sz w:val="18"/>
                <w:szCs w:val="18"/>
              </w:rPr>
              <w:t xml:space="preserve"> both contributed modest positive support (</w:t>
            </w:r>
            <w:r>
              <w:rPr>
                <w:b/>
                <w:bCs/>
                <w:sz w:val="18"/>
                <w:szCs w:val="18"/>
              </w:rPr>
              <w:t>+0.03 and +0.02</w:t>
            </w:r>
            <w:r>
              <w:rPr>
                <w:sz w:val="18"/>
                <w:szCs w:val="18"/>
              </w:rPr>
              <w:t>).</w:t>
            </w:r>
          </w:p>
          <w:p w14:paraId="42B6EC1B" w14:textId="77777777" w:rsidR="00714E88" w:rsidRDefault="00000000" w:rsidP="00B1418D">
            <w:pPr>
              <w:pStyle w:val="TSP42tablebody"/>
              <w:numPr>
                <w:ilvl w:val="0"/>
                <w:numId w:val="20"/>
              </w:numPr>
              <w:jc w:val="both"/>
              <w:rPr>
                <w:sz w:val="18"/>
                <w:szCs w:val="18"/>
              </w:rPr>
            </w:pPr>
            <w:r>
              <w:rPr>
                <w:b/>
                <w:bCs/>
                <w:sz w:val="18"/>
                <w:szCs w:val="18"/>
              </w:rPr>
              <w:t>Negative contributions (pushing against Rich Mixture):</w:t>
            </w:r>
          </w:p>
          <w:p w14:paraId="7E8CAA09" w14:textId="77777777" w:rsidR="00714E88" w:rsidRDefault="00000000" w:rsidP="00B1418D">
            <w:pPr>
              <w:pStyle w:val="TSP42tablebody"/>
              <w:numPr>
                <w:ilvl w:val="1"/>
                <w:numId w:val="20"/>
              </w:numPr>
              <w:jc w:val="both"/>
              <w:rPr>
                <w:sz w:val="18"/>
                <w:szCs w:val="18"/>
              </w:rPr>
            </w:pPr>
            <w:r>
              <w:rPr>
                <w:b/>
                <w:bCs/>
                <w:sz w:val="18"/>
                <w:szCs w:val="18"/>
              </w:rPr>
              <w:t>HC ≤ 0.16</w:t>
            </w:r>
            <w:r>
              <w:rPr>
                <w:sz w:val="18"/>
                <w:szCs w:val="18"/>
              </w:rPr>
              <w:t xml:space="preserve"> contributed negatively (</w:t>
            </w:r>
            <w:r>
              <w:rPr>
                <w:b/>
                <w:bCs/>
                <w:sz w:val="18"/>
                <w:szCs w:val="18"/>
              </w:rPr>
              <w:t>–0.12</w:t>
            </w:r>
            <w:r>
              <w:rPr>
                <w:sz w:val="18"/>
                <w:szCs w:val="18"/>
              </w:rPr>
              <w:t>), indicating that low hydrocarbon emissions, usually associated with more complete combustion, conflicted with the diagnosis of a fuel-rich condition.</w:t>
            </w:r>
          </w:p>
          <w:p w14:paraId="7564207D" w14:textId="77777777" w:rsidR="00714E88" w:rsidRDefault="00000000" w:rsidP="00B1418D">
            <w:pPr>
              <w:pStyle w:val="TSP42tablebody"/>
              <w:numPr>
                <w:ilvl w:val="1"/>
                <w:numId w:val="20"/>
              </w:numPr>
              <w:jc w:val="both"/>
              <w:rPr>
                <w:sz w:val="18"/>
                <w:szCs w:val="18"/>
              </w:rPr>
            </w:pPr>
            <w:r>
              <w:rPr>
                <w:b/>
                <w:bCs/>
                <w:sz w:val="18"/>
                <w:szCs w:val="18"/>
              </w:rPr>
              <w:t>0.08 &lt; Consumption L/H ≤ 0.15</w:t>
            </w:r>
            <w:r>
              <w:rPr>
                <w:sz w:val="18"/>
                <w:szCs w:val="18"/>
              </w:rPr>
              <w:t xml:space="preserve"> also opposed the classification, though weakly (</w:t>
            </w:r>
            <w:r>
              <w:rPr>
                <w:b/>
                <w:bCs/>
                <w:sz w:val="18"/>
                <w:szCs w:val="18"/>
              </w:rPr>
              <w:t>–0.02</w:t>
            </w:r>
            <w:r>
              <w:rPr>
                <w:sz w:val="18"/>
                <w:szCs w:val="18"/>
              </w:rPr>
              <w:t>).</w:t>
            </w:r>
          </w:p>
          <w:p w14:paraId="1D3F5A1E" w14:textId="77777777" w:rsidR="00714E88" w:rsidRDefault="00000000">
            <w:pPr>
              <w:pStyle w:val="TSP42tablebody"/>
              <w:jc w:val="both"/>
              <w:rPr>
                <w:b/>
                <w:bCs/>
                <w:sz w:val="18"/>
                <w:szCs w:val="18"/>
              </w:rPr>
            </w:pPr>
            <w:r>
              <w:rPr>
                <w:b/>
                <w:bCs/>
                <w:sz w:val="18"/>
                <w:szCs w:val="18"/>
              </w:rPr>
              <w:t>2. Feature Prioritization</w:t>
            </w:r>
          </w:p>
          <w:p w14:paraId="2270EA5F" w14:textId="77777777" w:rsidR="00714E88" w:rsidRDefault="00000000" w:rsidP="00B1418D">
            <w:pPr>
              <w:pStyle w:val="TSP42tablebody"/>
              <w:numPr>
                <w:ilvl w:val="0"/>
                <w:numId w:val="20"/>
              </w:numPr>
              <w:jc w:val="both"/>
              <w:rPr>
                <w:sz w:val="18"/>
                <w:szCs w:val="18"/>
              </w:rPr>
            </w:pPr>
            <w:r>
              <w:rPr>
                <w:sz w:val="18"/>
                <w:szCs w:val="18"/>
              </w:rPr>
              <w:t xml:space="preserve">The model’s local decision relied most heavily on </w:t>
            </w:r>
            <w:r>
              <w:rPr>
                <w:b/>
                <w:bCs/>
                <w:sz w:val="18"/>
                <w:szCs w:val="18"/>
              </w:rPr>
              <w:t>exhaust gas composition</w:t>
            </w:r>
            <w:r>
              <w:rPr>
                <w:sz w:val="18"/>
                <w:szCs w:val="18"/>
              </w:rPr>
              <w:t xml:space="preserve"> (O₂, CO₂, CO) as the defining criteria for a rich mixture. High O₂ and CO₂ values provided the strongest support, suggesting that the model interprets these sensor patterns as indicative of incomplete fuel-air balance and excess fuel presence. Secondary reinforcement came from </w:t>
            </w:r>
            <w:r>
              <w:rPr>
                <w:b/>
                <w:bCs/>
                <w:sz w:val="18"/>
                <w:szCs w:val="18"/>
              </w:rPr>
              <w:t>engine behavior metrics</w:t>
            </w:r>
            <w:r>
              <w:rPr>
                <w:sz w:val="18"/>
                <w:szCs w:val="18"/>
              </w:rPr>
              <w:t xml:space="preserve"> such as torque (Force), MAP, and Power at relatively narrow ranges, which contributed moderately to the classification. Corrective signals such as low HC attempted to counteract this interpretation, but their influence was outweighed by the dominant exhaust-based cues.</w:t>
            </w:r>
          </w:p>
          <w:p w14:paraId="60DBFE33" w14:textId="77777777" w:rsidR="00714E88" w:rsidRDefault="00000000">
            <w:pPr>
              <w:pStyle w:val="TSP42tablebody"/>
              <w:jc w:val="both"/>
              <w:rPr>
                <w:b/>
                <w:bCs/>
                <w:sz w:val="18"/>
                <w:szCs w:val="18"/>
              </w:rPr>
            </w:pPr>
            <w:r>
              <w:rPr>
                <w:b/>
                <w:bCs/>
                <w:sz w:val="18"/>
                <w:szCs w:val="18"/>
              </w:rPr>
              <w:t>3. Low-Impact Features</w:t>
            </w:r>
          </w:p>
          <w:p w14:paraId="72B3D380" w14:textId="77777777" w:rsidR="00714E88" w:rsidRDefault="00000000" w:rsidP="00B1418D">
            <w:pPr>
              <w:pStyle w:val="TSP42tablebody"/>
              <w:numPr>
                <w:ilvl w:val="0"/>
                <w:numId w:val="20"/>
              </w:numPr>
              <w:jc w:val="both"/>
              <w:rPr>
                <w:sz w:val="18"/>
                <w:szCs w:val="18"/>
              </w:rPr>
            </w:pPr>
            <w:r>
              <w:rPr>
                <w:sz w:val="18"/>
                <w:szCs w:val="18"/>
              </w:rPr>
              <w:t xml:space="preserve">Features such as </w:t>
            </w:r>
            <w:r>
              <w:rPr>
                <w:b/>
                <w:bCs/>
                <w:sz w:val="18"/>
                <w:szCs w:val="18"/>
              </w:rPr>
              <w:t>MAP (0.03)</w:t>
            </w:r>
            <w:r>
              <w:rPr>
                <w:sz w:val="18"/>
                <w:szCs w:val="18"/>
              </w:rPr>
              <w:t xml:space="preserve">, </w:t>
            </w:r>
            <w:r>
              <w:rPr>
                <w:b/>
                <w:bCs/>
                <w:sz w:val="18"/>
                <w:szCs w:val="18"/>
              </w:rPr>
              <w:t>Power (0.03)</w:t>
            </w:r>
            <w:r>
              <w:rPr>
                <w:sz w:val="18"/>
                <w:szCs w:val="18"/>
              </w:rPr>
              <w:t xml:space="preserve">, </w:t>
            </w:r>
            <w:r>
              <w:rPr>
                <w:b/>
                <w:bCs/>
                <w:sz w:val="18"/>
                <w:szCs w:val="18"/>
              </w:rPr>
              <w:t>Lambda (0.03)</w:t>
            </w:r>
            <w:r>
              <w:rPr>
                <w:sz w:val="18"/>
                <w:szCs w:val="18"/>
              </w:rPr>
              <w:t xml:space="preserve">, and </w:t>
            </w:r>
            <w:r>
              <w:rPr>
                <w:b/>
                <w:bCs/>
                <w:sz w:val="18"/>
                <w:szCs w:val="18"/>
              </w:rPr>
              <w:t>AFR (0.02)</w:t>
            </w:r>
            <w:r>
              <w:rPr>
                <w:sz w:val="18"/>
                <w:szCs w:val="18"/>
              </w:rPr>
              <w:t xml:space="preserve"> exhibited relatively minor contributions. Their low impact likely results from their values being close to typical operational ranges, offering limited discriminative power in this particular instance. Similarly, </w:t>
            </w:r>
            <w:r>
              <w:rPr>
                <w:b/>
                <w:bCs/>
                <w:sz w:val="18"/>
                <w:szCs w:val="18"/>
              </w:rPr>
              <w:t>Consumption L/H (–0.02)</w:t>
            </w:r>
            <w:r>
              <w:rPr>
                <w:sz w:val="18"/>
                <w:szCs w:val="18"/>
              </w:rPr>
              <w:t>, while slightly opposing the classification, had negligible influence compared to the stronger emissions-based features.</w:t>
            </w:r>
          </w:p>
          <w:p w14:paraId="77C5C1B2" w14:textId="77777777" w:rsidR="00714E88" w:rsidRDefault="00000000">
            <w:pPr>
              <w:pStyle w:val="TSP42tablebody"/>
              <w:jc w:val="both"/>
              <w:rPr>
                <w:b/>
                <w:bCs/>
                <w:sz w:val="18"/>
                <w:szCs w:val="18"/>
              </w:rPr>
            </w:pPr>
            <w:r>
              <w:rPr>
                <w:b/>
                <w:bCs/>
                <w:sz w:val="18"/>
                <w:szCs w:val="18"/>
              </w:rPr>
              <w:t>4. Decision Logic</w:t>
            </w:r>
          </w:p>
          <w:p w14:paraId="78A4AE97" w14:textId="77777777" w:rsidR="00714E88" w:rsidRDefault="00000000" w:rsidP="00B1418D">
            <w:pPr>
              <w:pStyle w:val="TSP42tablebody"/>
              <w:numPr>
                <w:ilvl w:val="0"/>
                <w:numId w:val="20"/>
              </w:numPr>
              <w:jc w:val="both"/>
              <w:rPr>
                <w:sz w:val="18"/>
                <w:szCs w:val="18"/>
              </w:rPr>
            </w:pPr>
            <w:r>
              <w:rPr>
                <w:sz w:val="18"/>
                <w:szCs w:val="18"/>
              </w:rPr>
              <w:t>The decision process can be logically described as follows:</w:t>
            </w:r>
          </w:p>
          <w:p w14:paraId="60CACA78" w14:textId="77777777" w:rsidR="00714E88" w:rsidRDefault="00000000" w:rsidP="00B1418D">
            <w:pPr>
              <w:pStyle w:val="TSP42tablebody"/>
              <w:numPr>
                <w:ilvl w:val="0"/>
                <w:numId w:val="21"/>
              </w:numPr>
              <w:jc w:val="both"/>
              <w:rPr>
                <w:sz w:val="18"/>
                <w:szCs w:val="18"/>
              </w:rPr>
            </w:pPr>
            <w:r>
              <w:rPr>
                <w:b/>
                <w:bCs/>
                <w:sz w:val="18"/>
                <w:szCs w:val="18"/>
              </w:rPr>
              <w:t>Primary drivers</w:t>
            </w:r>
            <w:r>
              <w:rPr>
                <w:sz w:val="18"/>
                <w:szCs w:val="18"/>
              </w:rPr>
              <w:t xml:space="preserve"> – Elevated O₂ and CO₂ concentrations anchored the prediction, forming the strongest evidence for a </w:t>
            </w:r>
            <w:r>
              <w:rPr>
                <w:i/>
                <w:iCs/>
                <w:sz w:val="18"/>
                <w:szCs w:val="18"/>
              </w:rPr>
              <w:t>Rich Mixture</w:t>
            </w:r>
            <w:r>
              <w:rPr>
                <w:sz w:val="18"/>
                <w:szCs w:val="18"/>
              </w:rPr>
              <w:t xml:space="preserve"> condition. These features reflect abnormal combustion chemistry consistent with excess fuel input.</w:t>
            </w:r>
          </w:p>
          <w:p w14:paraId="5EC641EC" w14:textId="77777777" w:rsidR="00714E88" w:rsidRDefault="00000000" w:rsidP="00B1418D">
            <w:pPr>
              <w:pStyle w:val="TSP42tablebody"/>
              <w:numPr>
                <w:ilvl w:val="0"/>
                <w:numId w:val="21"/>
              </w:numPr>
              <w:jc w:val="both"/>
              <w:rPr>
                <w:sz w:val="18"/>
                <w:szCs w:val="18"/>
              </w:rPr>
            </w:pPr>
            <w:r>
              <w:rPr>
                <w:b/>
                <w:bCs/>
                <w:sz w:val="18"/>
                <w:szCs w:val="18"/>
              </w:rPr>
              <w:t>Secondary support</w:t>
            </w:r>
            <w:r>
              <w:rPr>
                <w:sz w:val="18"/>
                <w:szCs w:val="18"/>
              </w:rPr>
              <w:t xml:space="preserve"> – Complementary factors such as moderate CO levels and narrow operational ranges of Force, MAP, and Power strengthened the interpretation by aligning with known patterns of fuel-rich operation.</w:t>
            </w:r>
          </w:p>
          <w:p w14:paraId="76DBDCE3" w14:textId="77777777" w:rsidR="00714E88" w:rsidRDefault="00000000" w:rsidP="00B1418D">
            <w:pPr>
              <w:pStyle w:val="TSP42tablebody"/>
              <w:numPr>
                <w:ilvl w:val="0"/>
                <w:numId w:val="21"/>
              </w:numPr>
              <w:jc w:val="both"/>
              <w:rPr>
                <w:sz w:val="18"/>
                <w:szCs w:val="18"/>
              </w:rPr>
            </w:pPr>
            <w:r>
              <w:rPr>
                <w:b/>
                <w:bCs/>
                <w:sz w:val="18"/>
                <w:szCs w:val="18"/>
              </w:rPr>
              <w:t>Counteracting evidence</w:t>
            </w:r>
            <w:r>
              <w:rPr>
                <w:sz w:val="18"/>
                <w:szCs w:val="18"/>
              </w:rPr>
              <w:t xml:space="preserve"> – The presence of low HC levels suggested more complete combustion, opposing a rich mixture diagnosis. However, its negative influence was insufficient to override the dominant positive indicators.</w:t>
            </w:r>
          </w:p>
          <w:p w14:paraId="6BB5EEB7" w14:textId="77777777" w:rsidR="00714E88" w:rsidRDefault="00000000" w:rsidP="00B1418D">
            <w:pPr>
              <w:pStyle w:val="TSP42tablebody"/>
              <w:numPr>
                <w:ilvl w:val="0"/>
                <w:numId w:val="21"/>
              </w:numPr>
              <w:jc w:val="both"/>
              <w:rPr>
                <w:sz w:val="18"/>
                <w:szCs w:val="18"/>
              </w:rPr>
            </w:pPr>
            <w:r>
              <w:rPr>
                <w:b/>
                <w:bCs/>
                <w:sz w:val="18"/>
                <w:szCs w:val="18"/>
              </w:rPr>
              <w:t>Final outcome</w:t>
            </w:r>
            <w:r>
              <w:rPr>
                <w:sz w:val="18"/>
                <w:szCs w:val="18"/>
              </w:rPr>
              <w:t xml:space="preserve"> – The aggregation of strong exhaust gas signals and supportive engine behavior metrics decisively outweighed minor opposing evidence, resulting in a classification of </w:t>
            </w:r>
            <w:r>
              <w:rPr>
                <w:b/>
                <w:bCs/>
                <w:sz w:val="18"/>
                <w:szCs w:val="18"/>
              </w:rPr>
              <w:t>Rich Mixture</w:t>
            </w:r>
            <w:r>
              <w:rPr>
                <w:sz w:val="18"/>
                <w:szCs w:val="18"/>
              </w:rPr>
              <w:t xml:space="preserve"> with full confidence (1.00).</w:t>
            </w:r>
          </w:p>
          <w:p w14:paraId="3D93E53B" w14:textId="77777777" w:rsidR="00714E88" w:rsidRDefault="00000000">
            <w:pPr>
              <w:pStyle w:val="TSP42tablebody"/>
              <w:jc w:val="both"/>
              <w:rPr>
                <w:b/>
                <w:bCs/>
                <w:sz w:val="18"/>
                <w:szCs w:val="18"/>
              </w:rPr>
            </w:pPr>
            <w:r>
              <w:rPr>
                <w:b/>
                <w:bCs/>
                <w:sz w:val="18"/>
                <w:szCs w:val="18"/>
              </w:rPr>
              <w:t>Conclusion</w:t>
            </w:r>
          </w:p>
          <w:p w14:paraId="6DCDE0EC" w14:textId="77777777" w:rsidR="00714E88" w:rsidRDefault="00000000" w:rsidP="00B1418D">
            <w:pPr>
              <w:pStyle w:val="TSP42tablebody"/>
              <w:numPr>
                <w:ilvl w:val="0"/>
                <w:numId w:val="20"/>
              </w:numPr>
              <w:jc w:val="both"/>
              <w:rPr>
                <w:sz w:val="18"/>
                <w:szCs w:val="18"/>
              </w:rPr>
            </w:pPr>
            <w:r>
              <w:rPr>
                <w:sz w:val="18"/>
                <w:szCs w:val="18"/>
              </w:rPr>
              <w:t xml:space="preserve">The LIME analysis demonstrates that the classifier’s prediction of </w:t>
            </w:r>
            <w:r>
              <w:rPr>
                <w:i/>
                <w:iCs/>
                <w:sz w:val="18"/>
                <w:szCs w:val="18"/>
              </w:rPr>
              <w:t>Rich Mixture</w:t>
            </w:r>
            <w:r>
              <w:rPr>
                <w:sz w:val="18"/>
                <w:szCs w:val="18"/>
              </w:rPr>
              <w:t xml:space="preserve"> in this instance was primarily driven by </w:t>
            </w:r>
            <w:r>
              <w:rPr>
                <w:b/>
                <w:bCs/>
                <w:sz w:val="18"/>
                <w:szCs w:val="18"/>
              </w:rPr>
              <w:t>elevated O₂ and CO₂ sensor values</w:t>
            </w:r>
            <w:r>
              <w:rPr>
                <w:sz w:val="18"/>
                <w:szCs w:val="18"/>
              </w:rPr>
              <w:t xml:space="preserve">, supplemented by moderate CO and engine behavior metrics. Although the low HC reading provided counter-evidence, it was overwhelmed by the stronger emissions-based cues. This localized interpretation highlights the model’s reliance on </w:t>
            </w:r>
            <w:r>
              <w:rPr>
                <w:b/>
                <w:bCs/>
                <w:sz w:val="18"/>
                <w:szCs w:val="18"/>
              </w:rPr>
              <w:t>exhaust composition as the primary diagnostic signal</w:t>
            </w:r>
            <w:r>
              <w:rPr>
                <w:sz w:val="18"/>
                <w:szCs w:val="18"/>
              </w:rPr>
              <w:t>, while engine load and fuel efficiency variables played a secondary, reinforcing role.</w:t>
            </w:r>
          </w:p>
        </w:tc>
      </w:tr>
    </w:tbl>
    <w:p w14:paraId="7BCF71CD" w14:textId="77777777" w:rsidR="00714E88" w:rsidRDefault="00000000">
      <w:pPr>
        <w:pStyle w:val="a"/>
        <w:spacing w:before="240" w:line="276" w:lineRule="auto"/>
        <w:rPr>
          <w:rFonts w:ascii="Times New Roman" w:eastAsiaTheme="majorHAnsi" w:hAnsi="Times New Roman" w:cs="Times New Roman"/>
        </w:rPr>
      </w:pPr>
      <w:r>
        <w:rPr>
          <w:rFonts w:ascii="Times New Roman" w:eastAsiaTheme="majorHAnsi" w:hAnsi="Times New Roman" w:cs="Times New Roman"/>
          <w:noProof/>
        </w:rPr>
        <w:lastRenderedPageBreak/>
        <w:drawing>
          <wp:inline distT="0" distB="0" distL="0" distR="0" wp14:anchorId="4474379A" wp14:editId="3985F107">
            <wp:extent cx="5731510" cy="4323715"/>
            <wp:effectExtent l="0" t="0" r="2540" b="635"/>
            <wp:docPr id="2000649357" name="그림 6" descr="텍스트, 스크린샷, 도표, 번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649357" name="그림 6" descr="텍스트, 스크린샷, 도표, 번호이(가) 표시된 사진&#10;&#10;AI 생성 콘텐츠는 정확하지 않을 수 있습니다."/>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731510" cy="4323715"/>
                    </a:xfrm>
                    <a:prstGeom prst="rect">
                      <a:avLst/>
                    </a:prstGeom>
                    <a:noFill/>
                    <a:ln>
                      <a:noFill/>
                    </a:ln>
                  </pic:spPr>
                </pic:pic>
              </a:graphicData>
            </a:graphic>
          </wp:inline>
        </w:drawing>
      </w:r>
    </w:p>
    <w:p w14:paraId="604DB351" w14:textId="77777777" w:rsidR="00714E88" w:rsidRDefault="00000000">
      <w:pPr>
        <w:pStyle w:val="TSP52figure"/>
        <w:rPr>
          <w:rFonts w:eastAsia="Malgun Gothic"/>
          <w:lang w:eastAsia="ko-KR"/>
        </w:rPr>
      </w:pPr>
      <w:r>
        <w:rPr>
          <w:b/>
        </w:rPr>
        <w:t xml:space="preserve">Figure </w:t>
      </w:r>
      <w:r>
        <w:rPr>
          <w:rFonts w:eastAsiaTheme="minorEastAsia" w:hint="eastAsia"/>
          <w:b/>
          <w:lang w:eastAsia="ko-KR"/>
        </w:rPr>
        <w:t>S4</w:t>
      </w:r>
      <w:r>
        <w:rPr>
          <w:b/>
        </w:rPr>
        <w:t xml:space="preserve">: </w:t>
      </w:r>
      <w:r>
        <w:rPr>
          <w:rFonts w:eastAsia="Malgun Gothic" w:hint="eastAsia"/>
          <w:lang w:eastAsia="ko-KR"/>
        </w:rPr>
        <w:t xml:space="preserve">SHAP plot of proposed method </w:t>
      </w:r>
      <w:r>
        <w:rPr>
          <w:rFonts w:eastAsia="Malgun Gothic"/>
          <w:lang w:eastAsia="ko-KR"/>
        </w:rPr>
        <w:t>–</w:t>
      </w:r>
      <w:r>
        <w:rPr>
          <w:rFonts w:eastAsia="Malgun Gothic" w:hint="eastAsia"/>
          <w:lang w:eastAsia="ko-KR"/>
        </w:rPr>
        <w:t xml:space="preserve"> classified as Rich Mixture</w:t>
      </w:r>
    </w:p>
    <w:p w14:paraId="1FE50F5B" w14:textId="77777777" w:rsidR="00714E88" w:rsidRDefault="00000000">
      <w:pPr>
        <w:pStyle w:val="TSP41tablecaption"/>
        <w:jc w:val="center"/>
      </w:pPr>
      <w:r>
        <w:rPr>
          <w:b/>
        </w:rPr>
        <w:t xml:space="preserve">Table </w:t>
      </w:r>
      <w:r>
        <w:rPr>
          <w:rFonts w:eastAsia="Malgun Gothic" w:hint="eastAsia"/>
          <w:b/>
          <w:lang w:eastAsia="ko-KR"/>
        </w:rPr>
        <w:t>S5</w:t>
      </w:r>
      <w:r>
        <w:rPr>
          <w:b/>
        </w:rPr>
        <w:t xml:space="preserve">: </w:t>
      </w:r>
      <w:r>
        <w:rPr>
          <w:rFonts w:eastAsia="Malgun Gothic" w:hint="eastAsia"/>
          <w:lang w:eastAsia="ko-KR"/>
        </w:rPr>
        <w:t>Interpretation of SHAP analysis</w:t>
      </w:r>
      <w:r>
        <w:rPr>
          <w:rFonts w:eastAsia="Malgun Gothic"/>
          <w:lang w:eastAsia="ko-KR"/>
        </w:rPr>
        <w:t xml:space="preserve"> using the </w:t>
      </w:r>
      <w:r>
        <w:rPr>
          <w:rFonts w:eastAsia="Malgun Gothic" w:hint="eastAsia"/>
          <w:lang w:eastAsia="ko-KR"/>
        </w:rPr>
        <w:t>V</w:t>
      </w:r>
      <w:r>
        <w:rPr>
          <w:rFonts w:eastAsia="Malgun Gothic"/>
          <w:lang w:eastAsia="ko-KR"/>
        </w:rPr>
        <w:t>LM</w:t>
      </w:r>
      <w:r>
        <w:rPr>
          <w:rFonts w:eastAsia="Malgun Gothic" w:hint="eastAsia"/>
          <w:lang w:eastAsia="ko-KR"/>
        </w:rPr>
        <w:t xml:space="preserve"> </w:t>
      </w:r>
      <w:r>
        <w:rPr>
          <w:rFonts w:eastAsia="Malgun Gothic"/>
          <w:lang w:eastAsia="ko-KR"/>
        </w:rPr>
        <w:t>–</w:t>
      </w:r>
      <w:r>
        <w:rPr>
          <w:rFonts w:eastAsia="Malgun Gothic" w:hint="eastAsia"/>
          <w:lang w:eastAsia="ko-KR"/>
        </w:rPr>
        <w:t xml:space="preserve"> corresponding to Figure S4</w:t>
      </w:r>
    </w:p>
    <w:tbl>
      <w:tblPr>
        <w:tblW w:w="9361" w:type="dxa"/>
        <w:jc w:val="center"/>
        <w:tblBorders>
          <w:top w:val="single" w:sz="4" w:space="0" w:color="auto"/>
          <w:bottom w:val="single" w:sz="4" w:space="0" w:color="auto"/>
        </w:tblBorders>
        <w:tblLayout w:type="fixed"/>
        <w:tblCellMar>
          <w:left w:w="0" w:type="dxa"/>
          <w:right w:w="0" w:type="dxa"/>
        </w:tblCellMar>
        <w:tblLook w:val="04A0" w:firstRow="1" w:lastRow="0" w:firstColumn="1" w:lastColumn="0" w:noHBand="0" w:noVBand="1"/>
      </w:tblPr>
      <w:tblGrid>
        <w:gridCol w:w="9361"/>
      </w:tblGrid>
      <w:tr w:rsidR="00714E88" w14:paraId="383C5215" w14:textId="77777777">
        <w:trPr>
          <w:trHeight w:val="231"/>
          <w:jc w:val="center"/>
        </w:trPr>
        <w:tc>
          <w:tcPr>
            <w:tcW w:w="9361" w:type="dxa"/>
            <w:tcBorders>
              <w:top w:val="single" w:sz="4" w:space="0" w:color="auto"/>
              <w:bottom w:val="single" w:sz="4" w:space="0" w:color="auto"/>
            </w:tcBorders>
            <w:vAlign w:val="center"/>
          </w:tcPr>
          <w:p w14:paraId="318AE33C" w14:textId="77777777" w:rsidR="00714E88" w:rsidRDefault="00000000">
            <w:pPr>
              <w:pStyle w:val="TSP42tablebody"/>
              <w:rPr>
                <w:rFonts w:eastAsia="Malgun Gothic"/>
                <w:b/>
                <w:bCs/>
                <w:sz w:val="18"/>
                <w:szCs w:val="18"/>
                <w:lang w:eastAsia="ko-KR"/>
              </w:rPr>
            </w:pPr>
            <w:r>
              <w:rPr>
                <w:rFonts w:eastAsia="Malgun Gothic" w:hint="eastAsia"/>
                <w:b/>
                <w:bCs/>
                <w:sz w:val="18"/>
                <w:szCs w:val="18"/>
                <w:lang w:eastAsia="ko-KR"/>
              </w:rPr>
              <w:t>Result</w:t>
            </w:r>
          </w:p>
        </w:tc>
      </w:tr>
      <w:tr w:rsidR="00714E88" w14:paraId="75ACC89B" w14:textId="77777777">
        <w:trPr>
          <w:trHeight w:val="137"/>
          <w:jc w:val="center"/>
        </w:trPr>
        <w:tc>
          <w:tcPr>
            <w:tcW w:w="9361" w:type="dxa"/>
            <w:tcBorders>
              <w:top w:val="single" w:sz="4" w:space="0" w:color="auto"/>
              <w:bottom w:val="single" w:sz="4" w:space="0" w:color="auto"/>
            </w:tcBorders>
            <w:vAlign w:val="center"/>
          </w:tcPr>
          <w:p w14:paraId="7D25CEEF" w14:textId="77777777" w:rsidR="00714E88" w:rsidRDefault="00000000">
            <w:pPr>
              <w:pStyle w:val="TSP42tablebody"/>
              <w:jc w:val="both"/>
              <w:rPr>
                <w:b/>
                <w:bCs/>
                <w:sz w:val="18"/>
                <w:szCs w:val="18"/>
              </w:rPr>
            </w:pPr>
            <w:r>
              <w:rPr>
                <w:b/>
                <w:bCs/>
                <w:sz w:val="18"/>
                <w:szCs w:val="18"/>
              </w:rPr>
              <w:t xml:space="preserve">Local Explanation of SHAP Output for Instance Classified as </w:t>
            </w:r>
            <w:r>
              <w:rPr>
                <w:b/>
                <w:bCs/>
                <w:i/>
                <w:iCs/>
                <w:sz w:val="18"/>
                <w:szCs w:val="18"/>
              </w:rPr>
              <w:t>Rich Mixture</w:t>
            </w:r>
          </w:p>
          <w:p w14:paraId="2E80A8D4" w14:textId="77777777" w:rsidR="00714E88" w:rsidRDefault="00000000">
            <w:pPr>
              <w:pStyle w:val="TSP42tablebody"/>
              <w:jc w:val="both"/>
              <w:rPr>
                <w:b/>
                <w:bCs/>
                <w:sz w:val="18"/>
                <w:szCs w:val="18"/>
              </w:rPr>
            </w:pPr>
            <w:r>
              <w:rPr>
                <w:b/>
                <w:bCs/>
                <w:sz w:val="18"/>
                <w:szCs w:val="18"/>
              </w:rPr>
              <w:t>1. Key Features</w:t>
            </w:r>
          </w:p>
          <w:p w14:paraId="18D98630" w14:textId="77777777" w:rsidR="00714E88" w:rsidRDefault="00000000" w:rsidP="00B1418D">
            <w:pPr>
              <w:pStyle w:val="TSP42tablebody"/>
              <w:numPr>
                <w:ilvl w:val="0"/>
                <w:numId w:val="22"/>
              </w:numPr>
              <w:jc w:val="both"/>
              <w:rPr>
                <w:sz w:val="18"/>
                <w:szCs w:val="18"/>
              </w:rPr>
            </w:pPr>
            <w:r>
              <w:rPr>
                <w:sz w:val="18"/>
                <w:szCs w:val="18"/>
              </w:rPr>
              <w:t xml:space="preserve">The SHAP Waterfall Plot highlights the features that most strongly influenced the model’s prediction toward the </w:t>
            </w:r>
            <w:r>
              <w:rPr>
                <w:b/>
                <w:bCs/>
                <w:sz w:val="18"/>
                <w:szCs w:val="18"/>
              </w:rPr>
              <w:t>Rich Mixture</w:t>
            </w:r>
            <w:r>
              <w:rPr>
                <w:sz w:val="18"/>
                <w:szCs w:val="18"/>
              </w:rPr>
              <w:t xml:space="preserve"> class:</w:t>
            </w:r>
          </w:p>
          <w:p w14:paraId="6BFDA99D" w14:textId="77777777" w:rsidR="00714E88" w:rsidRDefault="00000000" w:rsidP="00B1418D">
            <w:pPr>
              <w:pStyle w:val="TSP42tablebody"/>
              <w:numPr>
                <w:ilvl w:val="0"/>
                <w:numId w:val="22"/>
              </w:numPr>
              <w:jc w:val="both"/>
              <w:rPr>
                <w:sz w:val="18"/>
                <w:szCs w:val="18"/>
              </w:rPr>
            </w:pPr>
            <w:r>
              <w:rPr>
                <w:b/>
                <w:bCs/>
                <w:sz w:val="18"/>
                <w:szCs w:val="18"/>
              </w:rPr>
              <w:t>Positive contributions (supporting Rich Mixture):</w:t>
            </w:r>
          </w:p>
          <w:p w14:paraId="7D60E57E" w14:textId="77777777" w:rsidR="00714E88" w:rsidRDefault="00000000" w:rsidP="00B1418D">
            <w:pPr>
              <w:pStyle w:val="TSP42tablebody"/>
              <w:numPr>
                <w:ilvl w:val="1"/>
                <w:numId w:val="22"/>
              </w:numPr>
              <w:jc w:val="both"/>
              <w:rPr>
                <w:sz w:val="18"/>
                <w:szCs w:val="18"/>
              </w:rPr>
            </w:pPr>
            <w:r>
              <w:rPr>
                <w:b/>
                <w:bCs/>
                <w:sz w:val="18"/>
                <w:szCs w:val="18"/>
              </w:rPr>
              <w:t>O₂ (0.64)</w:t>
            </w:r>
            <w:r>
              <w:rPr>
                <w:sz w:val="18"/>
                <w:szCs w:val="18"/>
              </w:rPr>
              <w:t>: Provided the strongest positive influence (</w:t>
            </w:r>
            <w:r>
              <w:rPr>
                <w:b/>
                <w:bCs/>
                <w:sz w:val="18"/>
                <w:szCs w:val="18"/>
              </w:rPr>
              <w:t>+3.23</w:t>
            </w:r>
            <w:r>
              <w:rPr>
                <w:sz w:val="18"/>
                <w:szCs w:val="18"/>
              </w:rPr>
              <w:t>), indicating oxygen imbalance highly consistent with fuel-rich combustion.</w:t>
            </w:r>
          </w:p>
          <w:p w14:paraId="0950FD8D" w14:textId="77777777" w:rsidR="00714E88" w:rsidRDefault="00000000" w:rsidP="00B1418D">
            <w:pPr>
              <w:pStyle w:val="TSP42tablebody"/>
              <w:numPr>
                <w:ilvl w:val="1"/>
                <w:numId w:val="22"/>
              </w:numPr>
              <w:jc w:val="both"/>
              <w:rPr>
                <w:sz w:val="18"/>
                <w:szCs w:val="18"/>
              </w:rPr>
            </w:pPr>
            <w:r>
              <w:rPr>
                <w:b/>
                <w:bCs/>
                <w:sz w:val="18"/>
                <w:szCs w:val="18"/>
              </w:rPr>
              <w:t>Power (0.03)</w:t>
            </w:r>
            <w:r>
              <w:rPr>
                <w:sz w:val="18"/>
                <w:szCs w:val="18"/>
              </w:rPr>
              <w:t xml:space="preserve"> and </w:t>
            </w:r>
            <w:r>
              <w:rPr>
                <w:b/>
                <w:bCs/>
                <w:sz w:val="18"/>
                <w:szCs w:val="18"/>
              </w:rPr>
              <w:t>Force (0.06)</w:t>
            </w:r>
            <w:r>
              <w:rPr>
                <w:sz w:val="18"/>
                <w:szCs w:val="18"/>
              </w:rPr>
              <w:t>: Together added strong reinforcement (</w:t>
            </w:r>
            <w:r>
              <w:rPr>
                <w:b/>
                <w:bCs/>
                <w:sz w:val="18"/>
                <w:szCs w:val="18"/>
              </w:rPr>
              <w:t>+2.80 and +1.86</w:t>
            </w:r>
            <w:r>
              <w:rPr>
                <w:sz w:val="18"/>
                <w:szCs w:val="18"/>
              </w:rPr>
              <w:t>, respectively), suggesting that abnormal load dynamics supported the rich mixture classification.</w:t>
            </w:r>
          </w:p>
          <w:p w14:paraId="031BB78F" w14:textId="77777777" w:rsidR="00714E88" w:rsidRDefault="00000000" w:rsidP="00B1418D">
            <w:pPr>
              <w:pStyle w:val="TSP42tablebody"/>
              <w:numPr>
                <w:ilvl w:val="1"/>
                <w:numId w:val="22"/>
              </w:numPr>
              <w:jc w:val="both"/>
              <w:rPr>
                <w:sz w:val="18"/>
                <w:szCs w:val="18"/>
              </w:rPr>
            </w:pPr>
            <w:r>
              <w:rPr>
                <w:b/>
                <w:bCs/>
                <w:sz w:val="18"/>
                <w:szCs w:val="18"/>
              </w:rPr>
              <w:t>CO (0.03)</w:t>
            </w:r>
            <w:r>
              <w:rPr>
                <w:sz w:val="18"/>
                <w:szCs w:val="18"/>
              </w:rPr>
              <w:t xml:space="preserve"> contributed </w:t>
            </w:r>
            <w:r>
              <w:rPr>
                <w:b/>
                <w:bCs/>
                <w:sz w:val="18"/>
                <w:szCs w:val="18"/>
              </w:rPr>
              <w:t>+1.49</w:t>
            </w:r>
            <w:r>
              <w:rPr>
                <w:sz w:val="18"/>
                <w:szCs w:val="18"/>
              </w:rPr>
              <w:t>, capturing elevated CO emissions as a characteristic signal of fuel-rich operation.</w:t>
            </w:r>
          </w:p>
          <w:p w14:paraId="595D984D" w14:textId="77777777" w:rsidR="00714E88" w:rsidRDefault="00000000" w:rsidP="00B1418D">
            <w:pPr>
              <w:pStyle w:val="TSP42tablebody"/>
              <w:numPr>
                <w:ilvl w:val="1"/>
                <w:numId w:val="22"/>
              </w:numPr>
              <w:jc w:val="both"/>
              <w:rPr>
                <w:sz w:val="18"/>
                <w:szCs w:val="18"/>
              </w:rPr>
            </w:pPr>
            <w:r>
              <w:rPr>
                <w:b/>
                <w:bCs/>
                <w:sz w:val="18"/>
                <w:szCs w:val="18"/>
              </w:rPr>
              <w:t>CO₂ (0.84)</w:t>
            </w:r>
            <w:r>
              <w:rPr>
                <w:sz w:val="18"/>
                <w:szCs w:val="18"/>
              </w:rPr>
              <w:t xml:space="preserve"> exerted a significant positive effect (</w:t>
            </w:r>
            <w:r>
              <w:rPr>
                <w:b/>
                <w:bCs/>
                <w:sz w:val="18"/>
                <w:szCs w:val="18"/>
              </w:rPr>
              <w:t>+1.23</w:t>
            </w:r>
            <w:r>
              <w:rPr>
                <w:sz w:val="18"/>
                <w:szCs w:val="18"/>
              </w:rPr>
              <w:t>), reflecting high combustion by-product levels consistent with incomplete burn.</w:t>
            </w:r>
          </w:p>
          <w:p w14:paraId="76A8BA62" w14:textId="77777777" w:rsidR="00714E88" w:rsidRDefault="00000000" w:rsidP="00B1418D">
            <w:pPr>
              <w:pStyle w:val="TSP42tablebody"/>
              <w:numPr>
                <w:ilvl w:val="1"/>
                <w:numId w:val="22"/>
              </w:numPr>
              <w:jc w:val="both"/>
              <w:rPr>
                <w:sz w:val="18"/>
                <w:szCs w:val="18"/>
              </w:rPr>
            </w:pPr>
            <w:r>
              <w:rPr>
                <w:b/>
                <w:bCs/>
                <w:sz w:val="18"/>
                <w:szCs w:val="18"/>
              </w:rPr>
              <w:t>Consumption L/H (0.11)</w:t>
            </w:r>
            <w:r>
              <w:rPr>
                <w:sz w:val="18"/>
                <w:szCs w:val="18"/>
              </w:rPr>
              <w:t xml:space="preserve"> contributed </w:t>
            </w:r>
            <w:r>
              <w:rPr>
                <w:b/>
                <w:bCs/>
                <w:sz w:val="18"/>
                <w:szCs w:val="18"/>
              </w:rPr>
              <w:t>+0.81</w:t>
            </w:r>
            <w:r>
              <w:rPr>
                <w:sz w:val="18"/>
                <w:szCs w:val="18"/>
              </w:rPr>
              <w:t xml:space="preserve">, while </w:t>
            </w:r>
            <w:r>
              <w:rPr>
                <w:b/>
                <w:bCs/>
                <w:sz w:val="18"/>
                <w:szCs w:val="18"/>
              </w:rPr>
              <w:t>Speed (0.35)</w:t>
            </w:r>
            <w:r>
              <w:rPr>
                <w:sz w:val="18"/>
                <w:szCs w:val="18"/>
              </w:rPr>
              <w:t xml:space="preserve"> and </w:t>
            </w:r>
            <w:r>
              <w:rPr>
                <w:b/>
                <w:bCs/>
                <w:sz w:val="18"/>
                <w:szCs w:val="18"/>
              </w:rPr>
              <w:t>RPM (0.32)</w:t>
            </w:r>
            <w:r>
              <w:rPr>
                <w:sz w:val="18"/>
                <w:szCs w:val="18"/>
              </w:rPr>
              <w:t xml:space="preserve"> added </w:t>
            </w:r>
            <w:r>
              <w:rPr>
                <w:b/>
                <w:bCs/>
                <w:sz w:val="18"/>
                <w:szCs w:val="18"/>
              </w:rPr>
              <w:t>+0.41 and +0.33</w:t>
            </w:r>
            <w:r>
              <w:rPr>
                <w:sz w:val="18"/>
                <w:szCs w:val="18"/>
              </w:rPr>
              <w:t>, respectively, further supporting abnormal combustion states.</w:t>
            </w:r>
          </w:p>
          <w:p w14:paraId="42032E79" w14:textId="77777777" w:rsidR="00714E88" w:rsidRDefault="00000000" w:rsidP="00B1418D">
            <w:pPr>
              <w:pStyle w:val="TSP42tablebody"/>
              <w:numPr>
                <w:ilvl w:val="1"/>
                <w:numId w:val="22"/>
              </w:numPr>
              <w:jc w:val="both"/>
              <w:rPr>
                <w:sz w:val="18"/>
                <w:szCs w:val="18"/>
              </w:rPr>
            </w:pPr>
            <w:r>
              <w:rPr>
                <w:sz w:val="18"/>
                <w:szCs w:val="18"/>
              </w:rPr>
              <w:t xml:space="preserve">Smaller but still positive contributions came from </w:t>
            </w:r>
            <w:r>
              <w:rPr>
                <w:b/>
                <w:bCs/>
                <w:sz w:val="18"/>
                <w:szCs w:val="18"/>
              </w:rPr>
              <w:t>TPS (0.16, +0.18)</w:t>
            </w:r>
            <w:r>
              <w:rPr>
                <w:sz w:val="18"/>
                <w:szCs w:val="18"/>
              </w:rPr>
              <w:t xml:space="preserve">, </w:t>
            </w:r>
            <w:r>
              <w:rPr>
                <w:b/>
                <w:bCs/>
                <w:sz w:val="18"/>
                <w:szCs w:val="18"/>
              </w:rPr>
              <w:t>Lambda (0.64, +0.09)</w:t>
            </w:r>
            <w:r>
              <w:rPr>
                <w:sz w:val="18"/>
                <w:szCs w:val="18"/>
              </w:rPr>
              <w:t xml:space="preserve">, </w:t>
            </w:r>
            <w:r>
              <w:rPr>
                <w:b/>
                <w:bCs/>
                <w:sz w:val="18"/>
                <w:szCs w:val="18"/>
              </w:rPr>
              <w:t>AFR (0.64, +0.05)</w:t>
            </w:r>
            <w:r>
              <w:rPr>
                <w:sz w:val="18"/>
                <w:szCs w:val="18"/>
              </w:rPr>
              <w:t xml:space="preserve">, and </w:t>
            </w:r>
            <w:r>
              <w:rPr>
                <w:b/>
                <w:bCs/>
                <w:sz w:val="18"/>
                <w:szCs w:val="18"/>
              </w:rPr>
              <w:t>HC (0.16, +0.04)</w:t>
            </w:r>
            <w:r>
              <w:rPr>
                <w:sz w:val="18"/>
                <w:szCs w:val="18"/>
              </w:rPr>
              <w:t>.</w:t>
            </w:r>
          </w:p>
          <w:p w14:paraId="0F1AAEF4" w14:textId="77777777" w:rsidR="00714E88" w:rsidRDefault="00000000" w:rsidP="00B1418D">
            <w:pPr>
              <w:pStyle w:val="TSP42tablebody"/>
              <w:numPr>
                <w:ilvl w:val="0"/>
                <w:numId w:val="22"/>
              </w:numPr>
              <w:jc w:val="both"/>
              <w:rPr>
                <w:sz w:val="18"/>
                <w:szCs w:val="18"/>
              </w:rPr>
            </w:pPr>
            <w:r>
              <w:rPr>
                <w:b/>
                <w:bCs/>
                <w:sz w:val="18"/>
                <w:szCs w:val="18"/>
              </w:rPr>
              <w:t>Negative contributions (opposing Rich Mixture):</w:t>
            </w:r>
          </w:p>
          <w:p w14:paraId="0DB675B3" w14:textId="77777777" w:rsidR="00714E88" w:rsidRDefault="00000000" w:rsidP="00B1418D">
            <w:pPr>
              <w:pStyle w:val="TSP42tablebody"/>
              <w:numPr>
                <w:ilvl w:val="1"/>
                <w:numId w:val="22"/>
              </w:numPr>
              <w:jc w:val="both"/>
              <w:rPr>
                <w:sz w:val="18"/>
                <w:szCs w:val="18"/>
              </w:rPr>
            </w:pPr>
            <w:r>
              <w:rPr>
                <w:b/>
                <w:bCs/>
                <w:sz w:val="18"/>
                <w:szCs w:val="18"/>
              </w:rPr>
              <w:t>Consumption L/100KM (0.09)</w:t>
            </w:r>
            <w:r>
              <w:rPr>
                <w:sz w:val="18"/>
                <w:szCs w:val="18"/>
              </w:rPr>
              <w:t xml:space="preserve"> exerted the most notable negative effect (</w:t>
            </w:r>
            <w:r>
              <w:rPr>
                <w:b/>
                <w:bCs/>
                <w:sz w:val="18"/>
                <w:szCs w:val="18"/>
              </w:rPr>
              <w:t>–0.26</w:t>
            </w:r>
            <w:r>
              <w:rPr>
                <w:sz w:val="18"/>
                <w:szCs w:val="18"/>
              </w:rPr>
              <w:t>), implying that distance-based fuel efficiency contradicted the rich mixture diagnosis.</w:t>
            </w:r>
          </w:p>
          <w:p w14:paraId="2BCE0A34" w14:textId="77777777" w:rsidR="00714E88" w:rsidRDefault="00000000" w:rsidP="00B1418D">
            <w:pPr>
              <w:pStyle w:val="TSP42tablebody"/>
              <w:numPr>
                <w:ilvl w:val="1"/>
                <w:numId w:val="22"/>
              </w:numPr>
              <w:jc w:val="both"/>
              <w:rPr>
                <w:sz w:val="18"/>
                <w:szCs w:val="18"/>
              </w:rPr>
            </w:pPr>
            <w:r>
              <w:rPr>
                <w:b/>
                <w:bCs/>
                <w:sz w:val="18"/>
                <w:szCs w:val="18"/>
              </w:rPr>
              <w:t>MAP (0.23)</w:t>
            </w:r>
            <w:r>
              <w:rPr>
                <w:sz w:val="18"/>
                <w:szCs w:val="18"/>
              </w:rPr>
              <w:t xml:space="preserve"> showed a negligible negative contribution (</w:t>
            </w:r>
            <w:r>
              <w:rPr>
                <w:b/>
                <w:bCs/>
                <w:sz w:val="18"/>
                <w:szCs w:val="18"/>
              </w:rPr>
              <w:t>–0.01</w:t>
            </w:r>
            <w:r>
              <w:rPr>
                <w:sz w:val="18"/>
                <w:szCs w:val="18"/>
              </w:rPr>
              <w:t>).</w:t>
            </w:r>
          </w:p>
          <w:p w14:paraId="1A6A2CE2" w14:textId="77777777" w:rsidR="00714E88" w:rsidRDefault="00000000" w:rsidP="00B1418D">
            <w:pPr>
              <w:pStyle w:val="TSP42tablebody"/>
              <w:numPr>
                <w:ilvl w:val="0"/>
                <w:numId w:val="22"/>
              </w:numPr>
              <w:jc w:val="both"/>
              <w:rPr>
                <w:sz w:val="18"/>
                <w:szCs w:val="18"/>
              </w:rPr>
            </w:pPr>
            <w:r>
              <w:rPr>
                <w:sz w:val="18"/>
                <w:szCs w:val="18"/>
              </w:rPr>
              <w:lastRenderedPageBreak/>
              <w:t xml:space="preserve">Overall, the dominant positive contributions decisively outweighed the minor negative effects, leading to a confident </w:t>
            </w:r>
            <w:r>
              <w:rPr>
                <w:i/>
                <w:iCs/>
                <w:sz w:val="18"/>
                <w:szCs w:val="18"/>
              </w:rPr>
              <w:t>Rich Mixture</w:t>
            </w:r>
            <w:r>
              <w:rPr>
                <w:sz w:val="18"/>
                <w:szCs w:val="18"/>
              </w:rPr>
              <w:t xml:space="preserve"> classification.</w:t>
            </w:r>
          </w:p>
          <w:p w14:paraId="76489238" w14:textId="77777777" w:rsidR="00714E88" w:rsidRDefault="00000000">
            <w:pPr>
              <w:pStyle w:val="TSP42tablebody"/>
              <w:jc w:val="both"/>
              <w:rPr>
                <w:b/>
                <w:bCs/>
                <w:sz w:val="18"/>
                <w:szCs w:val="18"/>
              </w:rPr>
            </w:pPr>
            <w:r>
              <w:rPr>
                <w:b/>
                <w:bCs/>
                <w:sz w:val="18"/>
                <w:szCs w:val="18"/>
              </w:rPr>
              <w:t>2. Stepwise Contribution Process</w:t>
            </w:r>
          </w:p>
          <w:p w14:paraId="591E706B" w14:textId="77777777" w:rsidR="00714E88" w:rsidRDefault="00000000" w:rsidP="00B1418D">
            <w:pPr>
              <w:pStyle w:val="TSP42tablebody"/>
              <w:numPr>
                <w:ilvl w:val="0"/>
                <w:numId w:val="22"/>
              </w:numPr>
              <w:jc w:val="both"/>
              <w:rPr>
                <w:sz w:val="18"/>
                <w:szCs w:val="18"/>
              </w:rPr>
            </w:pPr>
            <w:r>
              <w:rPr>
                <w:sz w:val="18"/>
                <w:szCs w:val="18"/>
              </w:rPr>
              <w:t xml:space="preserve">The model’s baseline prediction started at </w:t>
            </w:r>
            <w:r>
              <w:rPr>
                <w:b/>
                <w:bCs/>
                <w:sz w:val="18"/>
                <w:szCs w:val="18"/>
              </w:rPr>
              <w:t>E[f(X)] = –2.067</w:t>
            </w:r>
            <w:r>
              <w:rPr>
                <w:sz w:val="18"/>
                <w:szCs w:val="18"/>
              </w:rPr>
              <w:t>, representing the expected value before individual feature influences were applied.</w:t>
            </w:r>
          </w:p>
          <w:p w14:paraId="7FCB9F4B" w14:textId="77777777" w:rsidR="00714E88" w:rsidRDefault="00000000" w:rsidP="00B1418D">
            <w:pPr>
              <w:pStyle w:val="TSP42tablebody"/>
              <w:numPr>
                <w:ilvl w:val="0"/>
                <w:numId w:val="23"/>
              </w:numPr>
              <w:jc w:val="both"/>
              <w:rPr>
                <w:sz w:val="18"/>
                <w:szCs w:val="18"/>
              </w:rPr>
            </w:pPr>
            <w:r>
              <w:rPr>
                <w:b/>
                <w:bCs/>
                <w:sz w:val="18"/>
                <w:szCs w:val="18"/>
              </w:rPr>
              <w:t>O₂ (+3.23)</w:t>
            </w:r>
            <w:r>
              <w:rPr>
                <w:sz w:val="18"/>
                <w:szCs w:val="18"/>
              </w:rPr>
              <w:t xml:space="preserve"> immediately shifted the prediction strongly toward the </w:t>
            </w:r>
            <w:r>
              <w:rPr>
                <w:i/>
                <w:iCs/>
                <w:sz w:val="18"/>
                <w:szCs w:val="18"/>
              </w:rPr>
              <w:t>Rich Mixture</w:t>
            </w:r>
            <w:r>
              <w:rPr>
                <w:sz w:val="18"/>
                <w:szCs w:val="18"/>
              </w:rPr>
              <w:t xml:space="preserve"> class.</w:t>
            </w:r>
          </w:p>
          <w:p w14:paraId="41AB0C10" w14:textId="77777777" w:rsidR="00714E88" w:rsidRDefault="00000000" w:rsidP="00B1418D">
            <w:pPr>
              <w:pStyle w:val="TSP42tablebody"/>
              <w:numPr>
                <w:ilvl w:val="0"/>
                <w:numId w:val="23"/>
              </w:numPr>
              <w:jc w:val="both"/>
              <w:rPr>
                <w:sz w:val="18"/>
                <w:szCs w:val="18"/>
              </w:rPr>
            </w:pPr>
            <w:r>
              <w:rPr>
                <w:sz w:val="18"/>
                <w:szCs w:val="18"/>
              </w:rPr>
              <w:t xml:space="preserve">Sequential additions from </w:t>
            </w:r>
            <w:r>
              <w:rPr>
                <w:b/>
                <w:bCs/>
                <w:sz w:val="18"/>
                <w:szCs w:val="18"/>
              </w:rPr>
              <w:t>Power (+2.80)</w:t>
            </w:r>
            <w:r>
              <w:rPr>
                <w:sz w:val="18"/>
                <w:szCs w:val="18"/>
              </w:rPr>
              <w:t xml:space="preserve">, </w:t>
            </w:r>
            <w:r>
              <w:rPr>
                <w:b/>
                <w:bCs/>
                <w:sz w:val="18"/>
                <w:szCs w:val="18"/>
              </w:rPr>
              <w:t>Force (+1.86)</w:t>
            </w:r>
            <w:r>
              <w:rPr>
                <w:sz w:val="18"/>
                <w:szCs w:val="18"/>
              </w:rPr>
              <w:t xml:space="preserve">, and </w:t>
            </w:r>
            <w:r>
              <w:rPr>
                <w:b/>
                <w:bCs/>
                <w:sz w:val="18"/>
                <w:szCs w:val="18"/>
              </w:rPr>
              <w:t>CO (+1.49)</w:t>
            </w:r>
            <w:r>
              <w:rPr>
                <w:sz w:val="18"/>
                <w:szCs w:val="18"/>
              </w:rPr>
              <w:t xml:space="preserve"> reinforced this trend.</w:t>
            </w:r>
          </w:p>
          <w:p w14:paraId="59FA998D" w14:textId="77777777" w:rsidR="00714E88" w:rsidRDefault="00000000" w:rsidP="00B1418D">
            <w:pPr>
              <w:pStyle w:val="TSP42tablebody"/>
              <w:numPr>
                <w:ilvl w:val="0"/>
                <w:numId w:val="23"/>
              </w:numPr>
              <w:jc w:val="both"/>
              <w:rPr>
                <w:sz w:val="18"/>
                <w:szCs w:val="18"/>
              </w:rPr>
            </w:pPr>
            <w:r>
              <w:rPr>
                <w:sz w:val="18"/>
                <w:szCs w:val="18"/>
              </w:rPr>
              <w:t xml:space="preserve">Contributions from </w:t>
            </w:r>
            <w:r>
              <w:rPr>
                <w:b/>
                <w:bCs/>
                <w:sz w:val="18"/>
                <w:szCs w:val="18"/>
              </w:rPr>
              <w:t>CO₂ (+1.23)</w:t>
            </w:r>
            <w:r>
              <w:rPr>
                <w:sz w:val="18"/>
                <w:szCs w:val="18"/>
              </w:rPr>
              <w:t xml:space="preserve"> and </w:t>
            </w:r>
            <w:r>
              <w:rPr>
                <w:b/>
                <w:bCs/>
                <w:sz w:val="18"/>
                <w:szCs w:val="18"/>
              </w:rPr>
              <w:t>Consumption L/H (+0.81)</w:t>
            </w:r>
            <w:r>
              <w:rPr>
                <w:sz w:val="18"/>
                <w:szCs w:val="18"/>
              </w:rPr>
              <w:t xml:space="preserve"> pushed the score further upward.</w:t>
            </w:r>
          </w:p>
          <w:p w14:paraId="7DE1AAF5" w14:textId="77777777" w:rsidR="00714E88" w:rsidRDefault="00000000" w:rsidP="00B1418D">
            <w:pPr>
              <w:pStyle w:val="TSP42tablebody"/>
              <w:numPr>
                <w:ilvl w:val="0"/>
                <w:numId w:val="23"/>
              </w:numPr>
              <w:jc w:val="both"/>
              <w:rPr>
                <w:sz w:val="18"/>
                <w:szCs w:val="18"/>
              </w:rPr>
            </w:pPr>
            <w:r>
              <w:rPr>
                <w:sz w:val="18"/>
                <w:szCs w:val="18"/>
              </w:rPr>
              <w:t xml:space="preserve">Behavioral signals from </w:t>
            </w:r>
            <w:r>
              <w:rPr>
                <w:b/>
                <w:bCs/>
                <w:sz w:val="18"/>
                <w:szCs w:val="18"/>
              </w:rPr>
              <w:t>Speed (+0.41)</w:t>
            </w:r>
            <w:r>
              <w:rPr>
                <w:sz w:val="18"/>
                <w:szCs w:val="18"/>
              </w:rPr>
              <w:t xml:space="preserve"> and </w:t>
            </w:r>
            <w:r>
              <w:rPr>
                <w:b/>
                <w:bCs/>
                <w:sz w:val="18"/>
                <w:szCs w:val="18"/>
              </w:rPr>
              <w:t>RPM (+0.33)</w:t>
            </w:r>
            <w:r>
              <w:rPr>
                <w:sz w:val="18"/>
                <w:szCs w:val="18"/>
              </w:rPr>
              <w:t xml:space="preserve"> increased the likelihood further.</w:t>
            </w:r>
          </w:p>
          <w:p w14:paraId="5568790E" w14:textId="77777777" w:rsidR="00714E88" w:rsidRDefault="00000000" w:rsidP="00B1418D">
            <w:pPr>
              <w:pStyle w:val="TSP42tablebody"/>
              <w:numPr>
                <w:ilvl w:val="0"/>
                <w:numId w:val="23"/>
              </w:numPr>
              <w:jc w:val="both"/>
              <w:rPr>
                <w:sz w:val="18"/>
                <w:szCs w:val="18"/>
              </w:rPr>
            </w:pPr>
            <w:r>
              <w:rPr>
                <w:sz w:val="18"/>
                <w:szCs w:val="18"/>
              </w:rPr>
              <w:t xml:space="preserve">Minor corrections from </w:t>
            </w:r>
            <w:r>
              <w:rPr>
                <w:b/>
                <w:bCs/>
                <w:sz w:val="18"/>
                <w:szCs w:val="18"/>
              </w:rPr>
              <w:t>Consumption L/100KM (–0.26)</w:t>
            </w:r>
            <w:r>
              <w:rPr>
                <w:sz w:val="18"/>
                <w:szCs w:val="18"/>
              </w:rPr>
              <w:t xml:space="preserve"> and </w:t>
            </w:r>
            <w:r>
              <w:rPr>
                <w:b/>
                <w:bCs/>
                <w:sz w:val="18"/>
                <w:szCs w:val="18"/>
              </w:rPr>
              <w:t>MAP (–0.01)</w:t>
            </w:r>
            <w:r>
              <w:rPr>
                <w:sz w:val="18"/>
                <w:szCs w:val="18"/>
              </w:rPr>
              <w:t xml:space="preserve"> slightly opposed the decision but had minimal effect.</w:t>
            </w:r>
          </w:p>
          <w:p w14:paraId="23F8F843" w14:textId="77777777" w:rsidR="00714E88" w:rsidRDefault="00000000" w:rsidP="00B1418D">
            <w:pPr>
              <w:pStyle w:val="TSP42tablebody"/>
              <w:numPr>
                <w:ilvl w:val="0"/>
                <w:numId w:val="23"/>
              </w:numPr>
              <w:jc w:val="both"/>
              <w:rPr>
                <w:sz w:val="18"/>
                <w:szCs w:val="18"/>
              </w:rPr>
            </w:pPr>
            <w:r>
              <w:rPr>
                <w:sz w:val="18"/>
                <w:szCs w:val="18"/>
              </w:rPr>
              <w:t xml:space="preserve">The cumulative contributions yielded a final model output of </w:t>
            </w:r>
            <w:r>
              <w:rPr>
                <w:b/>
                <w:bCs/>
                <w:sz w:val="18"/>
                <w:szCs w:val="18"/>
              </w:rPr>
              <w:t>f(x) = 10.179</w:t>
            </w:r>
            <w:r>
              <w:rPr>
                <w:sz w:val="18"/>
                <w:szCs w:val="18"/>
              </w:rPr>
              <w:t xml:space="preserve">, mapping to a predicted probability of </w:t>
            </w:r>
            <w:r>
              <w:rPr>
                <w:b/>
                <w:bCs/>
                <w:sz w:val="18"/>
                <w:szCs w:val="18"/>
              </w:rPr>
              <w:t>1.00 for Rich Mixture</w:t>
            </w:r>
            <w:r>
              <w:rPr>
                <w:sz w:val="18"/>
                <w:szCs w:val="18"/>
              </w:rPr>
              <w:t>.</w:t>
            </w:r>
          </w:p>
          <w:p w14:paraId="2158E494" w14:textId="77777777" w:rsidR="00714E88" w:rsidRDefault="00000000">
            <w:pPr>
              <w:pStyle w:val="TSP42tablebody"/>
              <w:jc w:val="both"/>
              <w:rPr>
                <w:b/>
                <w:bCs/>
                <w:sz w:val="18"/>
                <w:szCs w:val="18"/>
              </w:rPr>
            </w:pPr>
            <w:r>
              <w:rPr>
                <w:b/>
                <w:bCs/>
                <w:sz w:val="18"/>
                <w:szCs w:val="18"/>
              </w:rPr>
              <w:t>3. Low-Impact Features</w:t>
            </w:r>
          </w:p>
          <w:p w14:paraId="6A45CB1E" w14:textId="77777777" w:rsidR="00714E88" w:rsidRDefault="00000000" w:rsidP="00B1418D">
            <w:pPr>
              <w:pStyle w:val="TSP42tablebody"/>
              <w:numPr>
                <w:ilvl w:val="0"/>
                <w:numId w:val="22"/>
              </w:numPr>
              <w:jc w:val="both"/>
              <w:rPr>
                <w:sz w:val="18"/>
                <w:szCs w:val="18"/>
              </w:rPr>
            </w:pPr>
            <w:r>
              <w:rPr>
                <w:sz w:val="18"/>
                <w:szCs w:val="18"/>
              </w:rPr>
              <w:t>Certain features showed near-zero contributions:</w:t>
            </w:r>
          </w:p>
          <w:p w14:paraId="128E376F" w14:textId="77777777" w:rsidR="00714E88" w:rsidRDefault="00000000" w:rsidP="00B1418D">
            <w:pPr>
              <w:pStyle w:val="TSP42tablebody"/>
              <w:numPr>
                <w:ilvl w:val="0"/>
                <w:numId w:val="24"/>
              </w:numPr>
              <w:jc w:val="both"/>
              <w:rPr>
                <w:sz w:val="18"/>
                <w:szCs w:val="18"/>
              </w:rPr>
            </w:pPr>
            <w:r>
              <w:rPr>
                <w:b/>
                <w:bCs/>
                <w:sz w:val="18"/>
                <w:szCs w:val="18"/>
              </w:rPr>
              <w:t>MAP (–0.01)</w:t>
            </w:r>
            <w:r>
              <w:rPr>
                <w:sz w:val="18"/>
                <w:szCs w:val="18"/>
              </w:rPr>
              <w:t xml:space="preserve">, </w:t>
            </w:r>
            <w:r>
              <w:rPr>
                <w:b/>
                <w:bCs/>
                <w:sz w:val="18"/>
                <w:szCs w:val="18"/>
              </w:rPr>
              <w:t>HC (+0.04)</w:t>
            </w:r>
            <w:r>
              <w:rPr>
                <w:sz w:val="18"/>
                <w:szCs w:val="18"/>
              </w:rPr>
              <w:t xml:space="preserve">, </w:t>
            </w:r>
            <w:r>
              <w:rPr>
                <w:b/>
                <w:bCs/>
                <w:sz w:val="18"/>
                <w:szCs w:val="18"/>
              </w:rPr>
              <w:t>AFR (+0.05)</w:t>
            </w:r>
            <w:r>
              <w:rPr>
                <w:sz w:val="18"/>
                <w:szCs w:val="18"/>
              </w:rPr>
              <w:t xml:space="preserve">, and </w:t>
            </w:r>
            <w:r>
              <w:rPr>
                <w:b/>
                <w:bCs/>
                <w:sz w:val="18"/>
                <w:szCs w:val="18"/>
              </w:rPr>
              <w:t>Lambda (+0.09)</w:t>
            </w:r>
            <w:r>
              <w:rPr>
                <w:sz w:val="18"/>
                <w:szCs w:val="18"/>
              </w:rPr>
              <w:t xml:space="preserve"> were largely insignificant.</w:t>
            </w:r>
          </w:p>
          <w:p w14:paraId="74F168A0" w14:textId="77777777" w:rsidR="00714E88" w:rsidRDefault="00000000" w:rsidP="00B1418D">
            <w:pPr>
              <w:pStyle w:val="TSP42tablebody"/>
              <w:numPr>
                <w:ilvl w:val="0"/>
                <w:numId w:val="24"/>
              </w:numPr>
              <w:jc w:val="both"/>
              <w:rPr>
                <w:sz w:val="18"/>
                <w:szCs w:val="18"/>
              </w:rPr>
            </w:pPr>
            <w:r>
              <w:rPr>
                <w:sz w:val="18"/>
                <w:szCs w:val="18"/>
              </w:rPr>
              <w:t>These minimal impacts suggest that their observed values lay within typical ranges for both normal and faulty operation, thus not strongly discriminative for this particular instance.</w:t>
            </w:r>
          </w:p>
          <w:p w14:paraId="6C47B104" w14:textId="77777777" w:rsidR="00714E88" w:rsidRDefault="00000000">
            <w:pPr>
              <w:pStyle w:val="TSP42tablebody"/>
              <w:jc w:val="both"/>
              <w:rPr>
                <w:b/>
                <w:bCs/>
                <w:sz w:val="18"/>
                <w:szCs w:val="18"/>
              </w:rPr>
            </w:pPr>
            <w:r>
              <w:rPr>
                <w:b/>
                <w:bCs/>
                <w:sz w:val="18"/>
                <w:szCs w:val="18"/>
              </w:rPr>
              <w:t>4. Decision Logic</w:t>
            </w:r>
          </w:p>
          <w:p w14:paraId="155EE011" w14:textId="77777777" w:rsidR="00714E88" w:rsidRDefault="00000000" w:rsidP="00B1418D">
            <w:pPr>
              <w:pStyle w:val="TSP42tablebody"/>
              <w:numPr>
                <w:ilvl w:val="0"/>
                <w:numId w:val="22"/>
              </w:numPr>
              <w:jc w:val="both"/>
              <w:rPr>
                <w:sz w:val="18"/>
                <w:szCs w:val="18"/>
              </w:rPr>
            </w:pPr>
            <w:r>
              <w:rPr>
                <w:sz w:val="18"/>
                <w:szCs w:val="18"/>
              </w:rPr>
              <w:t>The SHAP decomposition indicates the following local reasoning process:</w:t>
            </w:r>
          </w:p>
          <w:p w14:paraId="73C69828" w14:textId="77777777" w:rsidR="00714E88" w:rsidRDefault="00000000" w:rsidP="00B1418D">
            <w:pPr>
              <w:pStyle w:val="TSP42tablebody"/>
              <w:numPr>
                <w:ilvl w:val="0"/>
                <w:numId w:val="25"/>
              </w:numPr>
              <w:jc w:val="both"/>
              <w:rPr>
                <w:sz w:val="18"/>
                <w:szCs w:val="18"/>
              </w:rPr>
            </w:pPr>
            <w:r>
              <w:rPr>
                <w:b/>
                <w:bCs/>
                <w:sz w:val="18"/>
                <w:szCs w:val="18"/>
              </w:rPr>
              <w:t>Primary drivers</w:t>
            </w:r>
            <w:r>
              <w:rPr>
                <w:sz w:val="18"/>
                <w:szCs w:val="18"/>
              </w:rPr>
              <w:t xml:space="preserve"> – The model relied heavily on </w:t>
            </w:r>
            <w:r>
              <w:rPr>
                <w:b/>
                <w:bCs/>
                <w:sz w:val="18"/>
                <w:szCs w:val="18"/>
              </w:rPr>
              <w:t>abnormal O₂ levels</w:t>
            </w:r>
            <w:r>
              <w:rPr>
                <w:sz w:val="18"/>
                <w:szCs w:val="18"/>
              </w:rPr>
              <w:t xml:space="preserve"> combined with </w:t>
            </w:r>
            <w:r>
              <w:rPr>
                <w:b/>
                <w:bCs/>
                <w:sz w:val="18"/>
                <w:szCs w:val="18"/>
              </w:rPr>
              <w:t>high Power, Force, and CO readings</w:t>
            </w:r>
            <w:r>
              <w:rPr>
                <w:sz w:val="18"/>
                <w:szCs w:val="18"/>
              </w:rPr>
              <w:t>, which formed the dominant evidence for fuel-rich combustion.</w:t>
            </w:r>
          </w:p>
          <w:p w14:paraId="24C82846" w14:textId="77777777" w:rsidR="00714E88" w:rsidRDefault="00000000" w:rsidP="00B1418D">
            <w:pPr>
              <w:pStyle w:val="TSP42tablebody"/>
              <w:numPr>
                <w:ilvl w:val="0"/>
                <w:numId w:val="25"/>
              </w:numPr>
              <w:jc w:val="both"/>
              <w:rPr>
                <w:sz w:val="18"/>
                <w:szCs w:val="18"/>
              </w:rPr>
            </w:pPr>
            <w:r>
              <w:rPr>
                <w:b/>
                <w:bCs/>
                <w:sz w:val="18"/>
                <w:szCs w:val="18"/>
              </w:rPr>
              <w:t>Combustion by-products</w:t>
            </w:r>
            <w:r>
              <w:rPr>
                <w:sz w:val="18"/>
                <w:szCs w:val="18"/>
              </w:rPr>
              <w:t xml:space="preserve"> – Elevated CO₂ and moderate HC emissions further reinforced the presence of incomplete combustion typical of rich mixtures.</w:t>
            </w:r>
          </w:p>
          <w:p w14:paraId="2DBDD514" w14:textId="77777777" w:rsidR="00714E88" w:rsidRDefault="00000000" w:rsidP="00B1418D">
            <w:pPr>
              <w:pStyle w:val="TSP42tablebody"/>
              <w:numPr>
                <w:ilvl w:val="0"/>
                <w:numId w:val="25"/>
              </w:numPr>
              <w:jc w:val="both"/>
              <w:rPr>
                <w:sz w:val="18"/>
                <w:szCs w:val="18"/>
              </w:rPr>
            </w:pPr>
            <w:r>
              <w:rPr>
                <w:b/>
                <w:bCs/>
                <w:sz w:val="18"/>
                <w:szCs w:val="18"/>
              </w:rPr>
              <w:t>Operational reinforcements</w:t>
            </w:r>
            <w:r>
              <w:rPr>
                <w:sz w:val="18"/>
                <w:szCs w:val="18"/>
              </w:rPr>
              <w:t xml:space="preserve"> – Increased hourly fuel consumption, Speed, and RPM supported the diagnosis by aligning with inefficiencies induced by excess fuel injection.</w:t>
            </w:r>
          </w:p>
          <w:p w14:paraId="66A43D53" w14:textId="77777777" w:rsidR="00714E88" w:rsidRDefault="00000000" w:rsidP="00B1418D">
            <w:pPr>
              <w:pStyle w:val="TSP42tablebody"/>
              <w:numPr>
                <w:ilvl w:val="0"/>
                <w:numId w:val="25"/>
              </w:numPr>
              <w:jc w:val="both"/>
              <w:rPr>
                <w:sz w:val="18"/>
                <w:szCs w:val="18"/>
              </w:rPr>
            </w:pPr>
            <w:r>
              <w:rPr>
                <w:b/>
                <w:bCs/>
                <w:sz w:val="18"/>
                <w:szCs w:val="18"/>
              </w:rPr>
              <w:t>Counter-signals</w:t>
            </w:r>
            <w:r>
              <w:rPr>
                <w:sz w:val="18"/>
                <w:szCs w:val="18"/>
              </w:rPr>
              <w:t xml:space="preserve"> – Distance-based fuel consumption efficiency (L/100KM) provided some contradictory evidence, but its effect was too small to offset the overwhelming positive drivers.</w:t>
            </w:r>
          </w:p>
          <w:p w14:paraId="45D189EB" w14:textId="77777777" w:rsidR="00714E88" w:rsidRDefault="00000000" w:rsidP="00B1418D">
            <w:pPr>
              <w:pStyle w:val="TSP42tablebody"/>
              <w:numPr>
                <w:ilvl w:val="0"/>
                <w:numId w:val="25"/>
              </w:numPr>
              <w:jc w:val="both"/>
              <w:rPr>
                <w:sz w:val="18"/>
                <w:szCs w:val="18"/>
              </w:rPr>
            </w:pPr>
            <w:r>
              <w:rPr>
                <w:b/>
                <w:bCs/>
                <w:sz w:val="18"/>
                <w:szCs w:val="18"/>
              </w:rPr>
              <w:t>Final resolution</w:t>
            </w:r>
            <w:r>
              <w:rPr>
                <w:sz w:val="18"/>
                <w:szCs w:val="18"/>
              </w:rPr>
              <w:t xml:space="preserve"> – The aggregation of strong positive signals produced a highly confident classification of </w:t>
            </w:r>
            <w:r>
              <w:rPr>
                <w:b/>
                <w:bCs/>
                <w:sz w:val="18"/>
                <w:szCs w:val="18"/>
              </w:rPr>
              <w:t>Rich Mixture</w:t>
            </w:r>
            <w:r>
              <w:rPr>
                <w:sz w:val="18"/>
                <w:szCs w:val="18"/>
              </w:rPr>
              <w:t>, demonstrating the model’s strong reliance on emission chemistry and load-based dynamics.</w:t>
            </w:r>
          </w:p>
          <w:p w14:paraId="12A4E460" w14:textId="77777777" w:rsidR="00714E88" w:rsidRDefault="00000000">
            <w:pPr>
              <w:pStyle w:val="TSP42tablebody"/>
              <w:jc w:val="both"/>
              <w:rPr>
                <w:b/>
                <w:bCs/>
                <w:sz w:val="18"/>
                <w:szCs w:val="18"/>
              </w:rPr>
            </w:pPr>
            <w:r>
              <w:rPr>
                <w:b/>
                <w:bCs/>
                <w:sz w:val="18"/>
                <w:szCs w:val="18"/>
              </w:rPr>
              <w:t>Conclusion</w:t>
            </w:r>
          </w:p>
          <w:p w14:paraId="5AD9EED8" w14:textId="77777777" w:rsidR="00714E88" w:rsidRDefault="00000000" w:rsidP="00B1418D">
            <w:pPr>
              <w:pStyle w:val="TSP42tablebody"/>
              <w:numPr>
                <w:ilvl w:val="0"/>
                <w:numId w:val="22"/>
              </w:numPr>
              <w:jc w:val="both"/>
              <w:rPr>
                <w:sz w:val="18"/>
                <w:szCs w:val="18"/>
              </w:rPr>
            </w:pPr>
            <w:r>
              <w:rPr>
                <w:sz w:val="18"/>
                <w:szCs w:val="18"/>
              </w:rPr>
              <w:t xml:space="preserve">The SHAP analysis shows that the classifier’s </w:t>
            </w:r>
            <w:r>
              <w:rPr>
                <w:i/>
                <w:iCs/>
                <w:sz w:val="18"/>
                <w:szCs w:val="18"/>
              </w:rPr>
              <w:t>Rich Mixture</w:t>
            </w:r>
            <w:r>
              <w:rPr>
                <w:sz w:val="18"/>
                <w:szCs w:val="18"/>
              </w:rPr>
              <w:t xml:space="preserve"> decision was primarily governed by </w:t>
            </w:r>
            <w:r>
              <w:rPr>
                <w:b/>
                <w:bCs/>
                <w:sz w:val="18"/>
                <w:szCs w:val="18"/>
              </w:rPr>
              <w:t>oxygen imbalance, high load parameters (Power, Force), and combustion gas indicators (CO, CO₂)</w:t>
            </w:r>
            <w:r>
              <w:rPr>
                <w:sz w:val="18"/>
                <w:szCs w:val="18"/>
              </w:rPr>
              <w:t xml:space="preserve">. Minor negative evidence from </w:t>
            </w:r>
            <w:r>
              <w:rPr>
                <w:b/>
                <w:bCs/>
                <w:sz w:val="18"/>
                <w:szCs w:val="18"/>
              </w:rPr>
              <w:t>fuel efficiency metrics</w:t>
            </w:r>
            <w:r>
              <w:rPr>
                <w:sz w:val="18"/>
                <w:szCs w:val="18"/>
              </w:rPr>
              <w:t xml:space="preserve"> did not significantly alter the outcome. This interpretation confirms that the model locally prioritizes </w:t>
            </w:r>
            <w:r>
              <w:rPr>
                <w:b/>
                <w:bCs/>
                <w:sz w:val="18"/>
                <w:szCs w:val="18"/>
              </w:rPr>
              <w:t>exhaust composition and torque-related features</w:t>
            </w:r>
            <w:r>
              <w:rPr>
                <w:sz w:val="18"/>
                <w:szCs w:val="18"/>
              </w:rPr>
              <w:t xml:space="preserve"> as the most reliable indicators of fuel-rich engine conditions.</w:t>
            </w:r>
          </w:p>
        </w:tc>
      </w:tr>
    </w:tbl>
    <w:p w14:paraId="0098D0FB" w14:textId="77777777" w:rsidR="00714E88" w:rsidRDefault="00000000">
      <w:pPr>
        <w:pStyle w:val="TSP41tablecaption"/>
        <w:jc w:val="center"/>
      </w:pPr>
      <w:r>
        <w:rPr>
          <w:b/>
        </w:rPr>
        <w:lastRenderedPageBreak/>
        <w:t xml:space="preserve">Table </w:t>
      </w:r>
      <w:r>
        <w:rPr>
          <w:rFonts w:eastAsia="Malgun Gothic" w:hint="eastAsia"/>
          <w:b/>
          <w:lang w:eastAsia="ko-KR"/>
        </w:rPr>
        <w:t>S6</w:t>
      </w:r>
      <w:r>
        <w:rPr>
          <w:b/>
        </w:rPr>
        <w:t xml:space="preserve">: </w:t>
      </w:r>
      <w:r>
        <w:rPr>
          <w:rFonts w:eastAsia="Malgun Gothic" w:hint="eastAsia"/>
          <w:lang w:eastAsia="ko-KR"/>
        </w:rPr>
        <w:t>Interpretation of LIME and SHAP analysis</w:t>
      </w:r>
      <w:r>
        <w:rPr>
          <w:rFonts w:eastAsia="Malgun Gothic"/>
          <w:lang w:eastAsia="ko-KR"/>
        </w:rPr>
        <w:t xml:space="preserve"> using the </w:t>
      </w:r>
      <w:r>
        <w:rPr>
          <w:rFonts w:eastAsia="Malgun Gothic" w:hint="eastAsia"/>
          <w:lang w:eastAsia="ko-KR"/>
        </w:rPr>
        <w:t>L</w:t>
      </w:r>
      <w:r>
        <w:rPr>
          <w:rFonts w:eastAsia="Malgun Gothic"/>
          <w:lang w:eastAsia="ko-KR"/>
        </w:rPr>
        <w:t>LM</w:t>
      </w:r>
      <w:r>
        <w:rPr>
          <w:rFonts w:eastAsia="Malgun Gothic" w:hint="eastAsia"/>
          <w:lang w:eastAsia="ko-KR"/>
        </w:rPr>
        <w:t xml:space="preserve"> </w:t>
      </w:r>
      <w:r>
        <w:rPr>
          <w:rFonts w:eastAsia="Malgun Gothic"/>
          <w:lang w:eastAsia="ko-KR"/>
        </w:rPr>
        <w:t>–</w:t>
      </w:r>
      <w:r>
        <w:rPr>
          <w:rFonts w:eastAsia="Malgun Gothic" w:hint="eastAsia"/>
          <w:lang w:eastAsia="ko-KR"/>
        </w:rPr>
        <w:t xml:space="preserve"> integrating Tables S4 and S5</w:t>
      </w:r>
    </w:p>
    <w:tbl>
      <w:tblPr>
        <w:tblW w:w="9361" w:type="dxa"/>
        <w:jc w:val="center"/>
        <w:tblBorders>
          <w:top w:val="single" w:sz="4" w:space="0" w:color="auto"/>
          <w:bottom w:val="single" w:sz="4" w:space="0" w:color="auto"/>
        </w:tblBorders>
        <w:tblLayout w:type="fixed"/>
        <w:tblCellMar>
          <w:left w:w="0" w:type="dxa"/>
          <w:right w:w="0" w:type="dxa"/>
        </w:tblCellMar>
        <w:tblLook w:val="04A0" w:firstRow="1" w:lastRow="0" w:firstColumn="1" w:lastColumn="0" w:noHBand="0" w:noVBand="1"/>
      </w:tblPr>
      <w:tblGrid>
        <w:gridCol w:w="9361"/>
      </w:tblGrid>
      <w:tr w:rsidR="00714E88" w14:paraId="6F7C322F" w14:textId="77777777">
        <w:trPr>
          <w:trHeight w:val="231"/>
          <w:jc w:val="center"/>
        </w:trPr>
        <w:tc>
          <w:tcPr>
            <w:tcW w:w="9361" w:type="dxa"/>
            <w:tcBorders>
              <w:top w:val="single" w:sz="4" w:space="0" w:color="auto"/>
              <w:bottom w:val="single" w:sz="4" w:space="0" w:color="auto"/>
            </w:tcBorders>
            <w:vAlign w:val="center"/>
          </w:tcPr>
          <w:p w14:paraId="0195EB9A" w14:textId="77777777" w:rsidR="00714E88" w:rsidRDefault="00000000">
            <w:pPr>
              <w:pStyle w:val="TSP42tablebody"/>
              <w:rPr>
                <w:rFonts w:eastAsia="Malgun Gothic"/>
                <w:b/>
                <w:bCs/>
                <w:sz w:val="18"/>
                <w:szCs w:val="18"/>
                <w:lang w:eastAsia="ko-KR"/>
              </w:rPr>
            </w:pPr>
            <w:r>
              <w:rPr>
                <w:rFonts w:eastAsia="Malgun Gothic" w:hint="eastAsia"/>
                <w:b/>
                <w:bCs/>
                <w:sz w:val="18"/>
                <w:szCs w:val="18"/>
                <w:lang w:eastAsia="ko-KR"/>
              </w:rPr>
              <w:t>Result</w:t>
            </w:r>
          </w:p>
        </w:tc>
      </w:tr>
      <w:tr w:rsidR="00714E88" w14:paraId="596F2240" w14:textId="77777777">
        <w:trPr>
          <w:trHeight w:val="137"/>
          <w:jc w:val="center"/>
        </w:trPr>
        <w:tc>
          <w:tcPr>
            <w:tcW w:w="9361" w:type="dxa"/>
            <w:tcBorders>
              <w:top w:val="single" w:sz="4" w:space="0" w:color="auto"/>
              <w:bottom w:val="single" w:sz="4" w:space="0" w:color="auto"/>
            </w:tcBorders>
            <w:vAlign w:val="center"/>
          </w:tcPr>
          <w:p w14:paraId="0A9E261B" w14:textId="77777777" w:rsidR="00714E88" w:rsidRDefault="00000000">
            <w:pPr>
              <w:pStyle w:val="TSP42tablebody"/>
              <w:jc w:val="both"/>
              <w:rPr>
                <w:b/>
                <w:bCs/>
                <w:sz w:val="18"/>
                <w:szCs w:val="18"/>
              </w:rPr>
            </w:pPr>
            <w:r>
              <w:rPr>
                <w:b/>
                <w:bCs/>
                <w:sz w:val="18"/>
                <w:szCs w:val="18"/>
              </w:rPr>
              <w:t xml:space="preserve">Unified Local Diagnostic Report — </w:t>
            </w:r>
            <w:r>
              <w:rPr>
                <w:b/>
                <w:bCs/>
                <w:i/>
                <w:iCs/>
                <w:sz w:val="18"/>
                <w:szCs w:val="18"/>
              </w:rPr>
              <w:t>Rich Mixture</w:t>
            </w:r>
            <w:r>
              <w:rPr>
                <w:b/>
                <w:bCs/>
                <w:sz w:val="18"/>
                <w:szCs w:val="18"/>
              </w:rPr>
              <w:t xml:space="preserve"> (VLM-LIME × SHAP)</w:t>
            </w:r>
          </w:p>
          <w:p w14:paraId="702889AF" w14:textId="77777777" w:rsidR="00714E88" w:rsidRDefault="00000000">
            <w:pPr>
              <w:pStyle w:val="TSP42tablebody"/>
              <w:jc w:val="both"/>
              <w:rPr>
                <w:b/>
                <w:bCs/>
                <w:sz w:val="18"/>
                <w:szCs w:val="18"/>
              </w:rPr>
            </w:pPr>
            <w:r>
              <w:rPr>
                <w:b/>
                <w:bCs/>
                <w:sz w:val="18"/>
                <w:szCs w:val="18"/>
              </w:rPr>
              <w:t>1) Summary of Predicted Class</w:t>
            </w:r>
          </w:p>
          <w:p w14:paraId="5E370166" w14:textId="77777777" w:rsidR="00714E88" w:rsidRDefault="00000000" w:rsidP="00B1418D">
            <w:pPr>
              <w:pStyle w:val="TSP42tablebody"/>
              <w:numPr>
                <w:ilvl w:val="0"/>
                <w:numId w:val="26"/>
              </w:numPr>
              <w:jc w:val="both"/>
              <w:rPr>
                <w:sz w:val="18"/>
                <w:szCs w:val="18"/>
              </w:rPr>
            </w:pPr>
            <w:r>
              <w:rPr>
                <w:sz w:val="18"/>
                <w:szCs w:val="18"/>
              </w:rPr>
              <w:t xml:space="preserve">Both analyses concur that this instance is classified as </w:t>
            </w:r>
            <w:r>
              <w:rPr>
                <w:b/>
                <w:bCs/>
                <w:sz w:val="18"/>
                <w:szCs w:val="18"/>
              </w:rPr>
              <w:t>Rich Mixture</w:t>
            </w:r>
            <w:r>
              <w:rPr>
                <w:sz w:val="18"/>
                <w:szCs w:val="18"/>
              </w:rPr>
              <w:t xml:space="preserve"> with </w:t>
            </w:r>
            <w:r>
              <w:rPr>
                <w:b/>
                <w:bCs/>
                <w:sz w:val="18"/>
                <w:szCs w:val="18"/>
              </w:rPr>
              <w:t>probability = 1.00</w:t>
            </w:r>
            <w:r>
              <w:rPr>
                <w:sz w:val="18"/>
                <w:szCs w:val="18"/>
              </w:rPr>
              <w:t xml:space="preserve">. The local evidence indicates combustion skewed toward </w:t>
            </w:r>
            <w:r>
              <w:rPr>
                <w:b/>
                <w:bCs/>
                <w:sz w:val="18"/>
                <w:szCs w:val="18"/>
              </w:rPr>
              <w:t>excess fuel</w:t>
            </w:r>
            <w:r>
              <w:rPr>
                <w:sz w:val="18"/>
                <w:szCs w:val="18"/>
              </w:rPr>
              <w:t>, reflected primarily in the exhaust-gas pattern and supported by selected load/operation variables.</w:t>
            </w:r>
          </w:p>
          <w:p w14:paraId="7F3D8596" w14:textId="77777777" w:rsidR="00714E88" w:rsidRDefault="00000000">
            <w:pPr>
              <w:pStyle w:val="TSP42tablebody"/>
              <w:jc w:val="both"/>
              <w:rPr>
                <w:b/>
                <w:bCs/>
                <w:sz w:val="18"/>
                <w:szCs w:val="18"/>
              </w:rPr>
            </w:pPr>
            <w:r>
              <w:rPr>
                <w:b/>
                <w:bCs/>
                <w:sz w:val="18"/>
                <w:szCs w:val="18"/>
              </w:rPr>
              <w:t>2) Consistent Feature Contributions (overlapping, high-confidence signals)</w:t>
            </w:r>
          </w:p>
          <w:p w14:paraId="763ABC08" w14:textId="77777777" w:rsidR="00714E88" w:rsidRDefault="00000000" w:rsidP="00B1418D">
            <w:pPr>
              <w:pStyle w:val="TSP42tablebody"/>
              <w:numPr>
                <w:ilvl w:val="0"/>
                <w:numId w:val="26"/>
              </w:numPr>
              <w:jc w:val="both"/>
              <w:rPr>
                <w:sz w:val="18"/>
                <w:szCs w:val="18"/>
              </w:rPr>
            </w:pPr>
            <w:r>
              <w:rPr>
                <w:b/>
                <w:bCs/>
                <w:sz w:val="18"/>
                <w:szCs w:val="18"/>
              </w:rPr>
              <w:t>Exhaust composition (primary evidence)</w:t>
            </w:r>
          </w:p>
          <w:p w14:paraId="464C7884" w14:textId="77777777" w:rsidR="00714E88" w:rsidRDefault="00000000" w:rsidP="00B1418D">
            <w:pPr>
              <w:pStyle w:val="TSP42tablebody"/>
              <w:numPr>
                <w:ilvl w:val="0"/>
                <w:numId w:val="26"/>
              </w:numPr>
              <w:jc w:val="both"/>
              <w:rPr>
                <w:sz w:val="18"/>
                <w:szCs w:val="18"/>
              </w:rPr>
            </w:pPr>
            <w:r>
              <w:rPr>
                <w:b/>
                <w:bCs/>
                <w:sz w:val="18"/>
                <w:szCs w:val="18"/>
              </w:rPr>
              <w:t>O₂</w:t>
            </w:r>
            <w:r>
              <w:rPr>
                <w:sz w:val="18"/>
                <w:szCs w:val="18"/>
              </w:rPr>
              <w:t xml:space="preserve">: Strongest pro–Rich signal in both methods (LIME rule </w:t>
            </w:r>
            <w:r>
              <w:rPr>
                <w:i/>
                <w:iCs/>
                <w:sz w:val="18"/>
                <w:szCs w:val="18"/>
              </w:rPr>
              <w:t>O₂ &gt; 0.63</w:t>
            </w:r>
            <w:r>
              <w:rPr>
                <w:sz w:val="18"/>
                <w:szCs w:val="18"/>
              </w:rPr>
              <w:t>; SHAP +3.23). Elevated O₂ at the sensor, in context, aligns with mixture imbalance captured by the trained model for this regime.</w:t>
            </w:r>
          </w:p>
          <w:p w14:paraId="7EB8324C" w14:textId="77777777" w:rsidR="00714E88" w:rsidRDefault="00000000" w:rsidP="00B1418D">
            <w:pPr>
              <w:pStyle w:val="TSP42tablebody"/>
              <w:numPr>
                <w:ilvl w:val="0"/>
                <w:numId w:val="26"/>
              </w:numPr>
              <w:jc w:val="both"/>
              <w:rPr>
                <w:sz w:val="18"/>
                <w:szCs w:val="18"/>
              </w:rPr>
            </w:pPr>
            <w:r>
              <w:rPr>
                <w:b/>
                <w:bCs/>
                <w:sz w:val="18"/>
                <w:szCs w:val="18"/>
              </w:rPr>
              <w:t>CO₂</w:t>
            </w:r>
            <w:r>
              <w:rPr>
                <w:sz w:val="18"/>
                <w:szCs w:val="18"/>
              </w:rPr>
              <w:t>: Positive in both (LIME +0.10; SHAP +1.23), consistent with increased combustion by-products under rich operation.</w:t>
            </w:r>
          </w:p>
          <w:p w14:paraId="7B6E7F59" w14:textId="77777777" w:rsidR="00714E88" w:rsidRDefault="00000000" w:rsidP="00B1418D">
            <w:pPr>
              <w:pStyle w:val="TSP42tablebody"/>
              <w:numPr>
                <w:ilvl w:val="0"/>
                <w:numId w:val="26"/>
              </w:numPr>
              <w:jc w:val="both"/>
              <w:rPr>
                <w:sz w:val="18"/>
                <w:szCs w:val="18"/>
              </w:rPr>
            </w:pPr>
            <w:r>
              <w:rPr>
                <w:b/>
                <w:bCs/>
                <w:sz w:val="18"/>
                <w:szCs w:val="18"/>
              </w:rPr>
              <w:t>CO</w:t>
            </w:r>
            <w:r>
              <w:rPr>
                <w:sz w:val="18"/>
                <w:szCs w:val="18"/>
              </w:rPr>
              <w:t>: Positive in both (LIME +0.06; SHAP +1.49), reflecting incomplete burn typical of fuel-rich conditions.</w:t>
            </w:r>
          </w:p>
          <w:p w14:paraId="59186F58" w14:textId="77777777" w:rsidR="00714E88" w:rsidRDefault="00000000" w:rsidP="00B1418D">
            <w:pPr>
              <w:pStyle w:val="TSP42tablebody"/>
              <w:numPr>
                <w:ilvl w:val="0"/>
                <w:numId w:val="26"/>
              </w:numPr>
              <w:jc w:val="both"/>
              <w:rPr>
                <w:sz w:val="18"/>
                <w:szCs w:val="18"/>
              </w:rPr>
            </w:pPr>
            <w:r>
              <w:rPr>
                <w:b/>
                <w:bCs/>
                <w:sz w:val="18"/>
                <w:szCs w:val="18"/>
              </w:rPr>
              <w:t>Engine/operation reinforcements (secondary evidence)</w:t>
            </w:r>
          </w:p>
          <w:p w14:paraId="1974601B" w14:textId="77777777" w:rsidR="00714E88" w:rsidRDefault="00000000" w:rsidP="00B1418D">
            <w:pPr>
              <w:pStyle w:val="TSP42tablebody"/>
              <w:numPr>
                <w:ilvl w:val="0"/>
                <w:numId w:val="27"/>
              </w:numPr>
              <w:jc w:val="both"/>
              <w:rPr>
                <w:sz w:val="18"/>
                <w:szCs w:val="18"/>
              </w:rPr>
            </w:pPr>
            <w:r>
              <w:rPr>
                <w:b/>
                <w:bCs/>
                <w:sz w:val="18"/>
                <w:szCs w:val="18"/>
              </w:rPr>
              <w:t>Force / Power</w:t>
            </w:r>
            <w:r>
              <w:rPr>
                <w:sz w:val="18"/>
                <w:szCs w:val="18"/>
              </w:rPr>
              <w:t>: Small positive rules in LIME; large positive SHAP values (+1.86 and +2.80). These indicate load dynamics consistent with the learned rich pattern.</w:t>
            </w:r>
          </w:p>
          <w:p w14:paraId="2097BD2F" w14:textId="77777777" w:rsidR="00714E88" w:rsidRDefault="00000000" w:rsidP="00B1418D">
            <w:pPr>
              <w:pStyle w:val="TSP42tablebody"/>
              <w:numPr>
                <w:ilvl w:val="0"/>
                <w:numId w:val="27"/>
              </w:numPr>
              <w:jc w:val="both"/>
              <w:rPr>
                <w:sz w:val="18"/>
                <w:szCs w:val="18"/>
              </w:rPr>
            </w:pPr>
            <w:r>
              <w:rPr>
                <w:b/>
                <w:bCs/>
                <w:sz w:val="18"/>
                <w:szCs w:val="18"/>
              </w:rPr>
              <w:lastRenderedPageBreak/>
              <w:t>RPM / Speed</w:t>
            </w:r>
            <w:r>
              <w:rPr>
                <w:sz w:val="18"/>
                <w:szCs w:val="18"/>
              </w:rPr>
              <w:t>: Not emphasized by LIME but positive in SHAP (+0.33, +0.41), reinforcing the operating-state context.</w:t>
            </w:r>
          </w:p>
          <w:p w14:paraId="78417196" w14:textId="77777777" w:rsidR="00714E88" w:rsidRDefault="00000000" w:rsidP="00B1418D">
            <w:pPr>
              <w:pStyle w:val="TSP42tablebody"/>
              <w:numPr>
                <w:ilvl w:val="0"/>
                <w:numId w:val="26"/>
              </w:numPr>
              <w:jc w:val="both"/>
              <w:rPr>
                <w:sz w:val="18"/>
                <w:szCs w:val="18"/>
              </w:rPr>
            </w:pPr>
            <w:r>
              <w:rPr>
                <w:b/>
                <w:bCs/>
                <w:sz w:val="18"/>
                <w:szCs w:val="18"/>
              </w:rPr>
              <w:t>Counter-evidence recognized by both</w:t>
            </w:r>
          </w:p>
          <w:p w14:paraId="01AF8C92" w14:textId="77777777" w:rsidR="00714E88" w:rsidRDefault="00000000" w:rsidP="00B1418D">
            <w:pPr>
              <w:pStyle w:val="TSP42tablebody"/>
              <w:numPr>
                <w:ilvl w:val="0"/>
                <w:numId w:val="28"/>
              </w:numPr>
              <w:jc w:val="both"/>
              <w:rPr>
                <w:sz w:val="18"/>
                <w:szCs w:val="18"/>
              </w:rPr>
            </w:pPr>
            <w:r>
              <w:rPr>
                <w:b/>
                <w:bCs/>
                <w:sz w:val="18"/>
                <w:szCs w:val="18"/>
              </w:rPr>
              <w:t>Distance-based fuel efficiency (Consumption L/100KM)</w:t>
            </w:r>
            <w:r>
              <w:rPr>
                <w:sz w:val="18"/>
                <w:szCs w:val="18"/>
              </w:rPr>
              <w:t>: Negative in SHAP (−0.26) and absent among LIME’s top positive rules—i.e., not supportive of a rich diagnosis in this instance.</w:t>
            </w:r>
          </w:p>
          <w:p w14:paraId="46B060EE" w14:textId="77777777" w:rsidR="00714E88" w:rsidRDefault="00000000">
            <w:pPr>
              <w:pStyle w:val="TSP42tablebody"/>
              <w:jc w:val="both"/>
              <w:rPr>
                <w:b/>
                <w:bCs/>
                <w:sz w:val="18"/>
                <w:szCs w:val="18"/>
              </w:rPr>
            </w:pPr>
            <w:r>
              <w:rPr>
                <w:b/>
                <w:bCs/>
                <w:sz w:val="18"/>
                <w:szCs w:val="18"/>
              </w:rPr>
              <w:t>3) Method-Specific Insights and Reconciliations</w:t>
            </w:r>
          </w:p>
          <w:p w14:paraId="77836486" w14:textId="77777777" w:rsidR="00714E88" w:rsidRDefault="00000000" w:rsidP="00B1418D">
            <w:pPr>
              <w:pStyle w:val="TSP42tablebody"/>
              <w:numPr>
                <w:ilvl w:val="0"/>
                <w:numId w:val="29"/>
              </w:numPr>
              <w:jc w:val="both"/>
              <w:rPr>
                <w:sz w:val="18"/>
                <w:szCs w:val="18"/>
              </w:rPr>
            </w:pPr>
            <w:r>
              <w:rPr>
                <w:b/>
                <w:bCs/>
                <w:sz w:val="18"/>
                <w:szCs w:val="18"/>
              </w:rPr>
              <w:t>HC directionality</w:t>
            </w:r>
          </w:p>
          <w:p w14:paraId="06B46643" w14:textId="77777777" w:rsidR="00714E88" w:rsidRDefault="00000000" w:rsidP="00B1418D">
            <w:pPr>
              <w:pStyle w:val="TSP42tablebody"/>
              <w:numPr>
                <w:ilvl w:val="0"/>
                <w:numId w:val="30"/>
              </w:numPr>
              <w:jc w:val="both"/>
              <w:rPr>
                <w:sz w:val="18"/>
                <w:szCs w:val="18"/>
              </w:rPr>
            </w:pPr>
            <w:r>
              <w:rPr>
                <w:i/>
                <w:iCs/>
                <w:sz w:val="18"/>
                <w:szCs w:val="18"/>
              </w:rPr>
              <w:t>LIME:</w:t>
            </w:r>
            <w:r>
              <w:rPr>
                <w:sz w:val="18"/>
                <w:szCs w:val="18"/>
              </w:rPr>
              <w:t xml:space="preserve"> </w:t>
            </w:r>
            <w:r>
              <w:rPr>
                <w:b/>
                <w:bCs/>
                <w:sz w:val="18"/>
                <w:szCs w:val="18"/>
              </w:rPr>
              <w:t>HC ≤ 0.16</w:t>
            </w:r>
            <w:r>
              <w:rPr>
                <w:sz w:val="18"/>
                <w:szCs w:val="18"/>
              </w:rPr>
              <w:t xml:space="preserve"> contributes </w:t>
            </w:r>
            <w:r>
              <w:rPr>
                <w:b/>
                <w:bCs/>
                <w:sz w:val="18"/>
                <w:szCs w:val="18"/>
              </w:rPr>
              <w:t>negatively</w:t>
            </w:r>
            <w:r>
              <w:rPr>
                <w:sz w:val="18"/>
                <w:szCs w:val="18"/>
              </w:rPr>
              <w:t xml:space="preserve"> (−0.12), suggesting relatively cleaner exhaust opposes a rich diagnosis.</w:t>
            </w:r>
          </w:p>
          <w:p w14:paraId="51C3DC4D" w14:textId="77777777" w:rsidR="00714E88" w:rsidRDefault="00000000" w:rsidP="00B1418D">
            <w:pPr>
              <w:pStyle w:val="TSP42tablebody"/>
              <w:numPr>
                <w:ilvl w:val="0"/>
                <w:numId w:val="30"/>
              </w:numPr>
              <w:jc w:val="both"/>
              <w:rPr>
                <w:sz w:val="18"/>
                <w:szCs w:val="18"/>
              </w:rPr>
            </w:pPr>
            <w:r>
              <w:rPr>
                <w:i/>
                <w:iCs/>
                <w:sz w:val="18"/>
                <w:szCs w:val="18"/>
              </w:rPr>
              <w:t>SHAP:</w:t>
            </w:r>
            <w:r>
              <w:rPr>
                <w:sz w:val="18"/>
                <w:szCs w:val="18"/>
              </w:rPr>
              <w:t xml:space="preserve"> </w:t>
            </w:r>
            <w:r>
              <w:rPr>
                <w:b/>
                <w:bCs/>
                <w:sz w:val="18"/>
                <w:szCs w:val="18"/>
              </w:rPr>
              <w:t>HC</w:t>
            </w:r>
            <w:r>
              <w:rPr>
                <w:sz w:val="18"/>
                <w:szCs w:val="18"/>
              </w:rPr>
              <w:t xml:space="preserve"> is </w:t>
            </w:r>
            <w:r>
              <w:rPr>
                <w:b/>
                <w:bCs/>
                <w:sz w:val="18"/>
                <w:szCs w:val="18"/>
              </w:rPr>
              <w:t>slightly positive</w:t>
            </w:r>
            <w:r>
              <w:rPr>
                <w:sz w:val="18"/>
                <w:szCs w:val="18"/>
              </w:rPr>
              <w:t xml:space="preserve"> (+0.04).</w:t>
            </w:r>
            <w:r>
              <w:rPr>
                <w:sz w:val="18"/>
                <w:szCs w:val="18"/>
              </w:rPr>
              <w:br/>
            </w:r>
            <w:r>
              <w:rPr>
                <w:b/>
                <w:bCs/>
                <w:sz w:val="18"/>
                <w:szCs w:val="18"/>
              </w:rPr>
              <w:t>Reconciliation:</w:t>
            </w:r>
            <w:r>
              <w:rPr>
                <w:sz w:val="18"/>
                <w:szCs w:val="18"/>
              </w:rPr>
              <w:t xml:space="preserve"> LIME discretizes into </w:t>
            </w:r>
            <w:proofErr w:type="spellStart"/>
            <w:r>
              <w:rPr>
                <w:sz w:val="18"/>
                <w:szCs w:val="18"/>
              </w:rPr>
              <w:t>thresholded</w:t>
            </w:r>
            <w:proofErr w:type="spellEnd"/>
            <w:r>
              <w:rPr>
                <w:sz w:val="18"/>
                <w:szCs w:val="18"/>
              </w:rPr>
              <w:t xml:space="preserve"> rules, so the bin “HC low” pushes against rich; SHAP measures the </w:t>
            </w:r>
            <w:r>
              <w:rPr>
                <w:b/>
                <w:bCs/>
                <w:sz w:val="18"/>
                <w:szCs w:val="18"/>
              </w:rPr>
              <w:t>exact marginal effect given all other features</w:t>
            </w:r>
            <w:r>
              <w:rPr>
                <w:sz w:val="18"/>
                <w:szCs w:val="18"/>
              </w:rPr>
              <w:t>. With very strong pro-rich signals (O₂, CO, CO₂, Power/Force), the small SHAP+ for HC can reflect weak interaction effects or proximity to class-wise decision boundaries. Magnitude is small in both—thus not decision-critical.</w:t>
            </w:r>
          </w:p>
          <w:p w14:paraId="61E74625" w14:textId="77777777" w:rsidR="00714E88" w:rsidRDefault="00000000" w:rsidP="00B1418D">
            <w:pPr>
              <w:pStyle w:val="TSP42tablebody"/>
              <w:numPr>
                <w:ilvl w:val="0"/>
                <w:numId w:val="31"/>
              </w:numPr>
              <w:jc w:val="both"/>
              <w:rPr>
                <w:sz w:val="18"/>
                <w:szCs w:val="18"/>
              </w:rPr>
            </w:pPr>
            <w:r>
              <w:rPr>
                <w:b/>
                <w:bCs/>
                <w:sz w:val="18"/>
                <w:szCs w:val="18"/>
              </w:rPr>
              <w:t>Hourly fuel consumption (Consumption L/H)</w:t>
            </w:r>
          </w:p>
          <w:p w14:paraId="007AE0EC" w14:textId="77777777" w:rsidR="00714E88" w:rsidRDefault="00000000" w:rsidP="00B1418D">
            <w:pPr>
              <w:pStyle w:val="TSP42tablebody"/>
              <w:numPr>
                <w:ilvl w:val="0"/>
                <w:numId w:val="32"/>
              </w:numPr>
              <w:jc w:val="both"/>
              <w:rPr>
                <w:sz w:val="18"/>
                <w:szCs w:val="18"/>
              </w:rPr>
            </w:pPr>
            <w:r>
              <w:rPr>
                <w:i/>
                <w:iCs/>
                <w:sz w:val="18"/>
                <w:szCs w:val="18"/>
              </w:rPr>
              <w:t>LIME:</w:t>
            </w:r>
            <w:r>
              <w:rPr>
                <w:sz w:val="18"/>
                <w:szCs w:val="18"/>
              </w:rPr>
              <w:t xml:space="preserve"> mild </w:t>
            </w:r>
            <w:r>
              <w:rPr>
                <w:b/>
                <w:bCs/>
                <w:sz w:val="18"/>
                <w:szCs w:val="18"/>
              </w:rPr>
              <w:t>negative</w:t>
            </w:r>
            <w:r>
              <w:rPr>
                <w:sz w:val="18"/>
                <w:szCs w:val="18"/>
              </w:rPr>
              <w:t xml:space="preserve"> (−0.02).</w:t>
            </w:r>
          </w:p>
          <w:p w14:paraId="05136B4B" w14:textId="77777777" w:rsidR="00714E88" w:rsidRDefault="00000000" w:rsidP="00B1418D">
            <w:pPr>
              <w:pStyle w:val="TSP42tablebody"/>
              <w:numPr>
                <w:ilvl w:val="0"/>
                <w:numId w:val="32"/>
              </w:numPr>
              <w:jc w:val="both"/>
              <w:rPr>
                <w:sz w:val="18"/>
                <w:szCs w:val="18"/>
              </w:rPr>
            </w:pPr>
            <w:r>
              <w:rPr>
                <w:i/>
                <w:iCs/>
                <w:sz w:val="18"/>
                <w:szCs w:val="18"/>
              </w:rPr>
              <w:t>SHAP:</w:t>
            </w:r>
            <w:r>
              <w:rPr>
                <w:sz w:val="18"/>
                <w:szCs w:val="18"/>
              </w:rPr>
              <w:t xml:space="preserve"> </w:t>
            </w:r>
            <w:r>
              <w:rPr>
                <w:b/>
                <w:bCs/>
                <w:sz w:val="18"/>
                <w:szCs w:val="18"/>
              </w:rPr>
              <w:t>positive</w:t>
            </w:r>
            <w:r>
              <w:rPr>
                <w:sz w:val="18"/>
                <w:szCs w:val="18"/>
              </w:rPr>
              <w:t xml:space="preserve"> (+0.81).</w:t>
            </w:r>
            <w:r>
              <w:rPr>
                <w:sz w:val="18"/>
                <w:szCs w:val="18"/>
              </w:rPr>
              <w:br/>
            </w:r>
            <w:r>
              <w:rPr>
                <w:b/>
                <w:bCs/>
                <w:sz w:val="18"/>
                <w:szCs w:val="18"/>
              </w:rPr>
              <w:t>Reconciliation:</w:t>
            </w:r>
            <w:r>
              <w:rPr>
                <w:sz w:val="18"/>
                <w:szCs w:val="18"/>
              </w:rPr>
              <w:t xml:space="preserve"> The LIME surrogate selected a narrow rule range (0.08–0.15), which in isolation leans away from rich. SHAP, using the exact value and accounting for </w:t>
            </w:r>
            <w:r>
              <w:rPr>
                <w:b/>
                <w:bCs/>
                <w:sz w:val="18"/>
                <w:szCs w:val="18"/>
              </w:rPr>
              <w:t>joint interactions with load (Power/Force) and gases (CO/CO₂/O₂)</w:t>
            </w:r>
            <w:r>
              <w:rPr>
                <w:sz w:val="18"/>
                <w:szCs w:val="18"/>
              </w:rPr>
              <w:t>, finds that the observed L/H aligns with the rich profile in this local context. SHAP’s effect is materially larger and better reflects the model’s nonlinear coupling.</w:t>
            </w:r>
          </w:p>
          <w:p w14:paraId="5507E082" w14:textId="77777777" w:rsidR="00714E88" w:rsidRDefault="00000000" w:rsidP="00B1418D">
            <w:pPr>
              <w:pStyle w:val="TSP42tablebody"/>
              <w:numPr>
                <w:ilvl w:val="0"/>
                <w:numId w:val="33"/>
              </w:numPr>
              <w:jc w:val="both"/>
              <w:rPr>
                <w:sz w:val="18"/>
                <w:szCs w:val="18"/>
              </w:rPr>
            </w:pPr>
            <w:r>
              <w:rPr>
                <w:b/>
                <w:bCs/>
                <w:sz w:val="18"/>
                <w:szCs w:val="18"/>
              </w:rPr>
              <w:t>MAP and Lambda/AFR</w:t>
            </w:r>
          </w:p>
          <w:p w14:paraId="2A3CAC69" w14:textId="77777777" w:rsidR="00714E88" w:rsidRDefault="00000000" w:rsidP="00B1418D">
            <w:pPr>
              <w:pStyle w:val="TSP42tablebody"/>
              <w:numPr>
                <w:ilvl w:val="0"/>
                <w:numId w:val="34"/>
              </w:numPr>
              <w:jc w:val="both"/>
              <w:rPr>
                <w:sz w:val="18"/>
                <w:szCs w:val="18"/>
              </w:rPr>
            </w:pPr>
            <w:r>
              <w:rPr>
                <w:i/>
                <w:iCs/>
                <w:sz w:val="18"/>
                <w:szCs w:val="18"/>
              </w:rPr>
              <w:t>LIME:</w:t>
            </w:r>
            <w:r>
              <w:rPr>
                <w:sz w:val="18"/>
                <w:szCs w:val="18"/>
              </w:rPr>
              <w:t xml:space="preserve"> small positives for MAP/Lambda/AFR.</w:t>
            </w:r>
          </w:p>
          <w:p w14:paraId="74AEEFD0" w14:textId="77777777" w:rsidR="00714E88" w:rsidRDefault="00000000" w:rsidP="00B1418D">
            <w:pPr>
              <w:pStyle w:val="TSP42tablebody"/>
              <w:numPr>
                <w:ilvl w:val="0"/>
                <w:numId w:val="34"/>
              </w:numPr>
              <w:jc w:val="both"/>
              <w:rPr>
                <w:sz w:val="18"/>
                <w:szCs w:val="18"/>
              </w:rPr>
            </w:pPr>
            <w:r>
              <w:rPr>
                <w:i/>
                <w:iCs/>
                <w:sz w:val="18"/>
                <w:szCs w:val="18"/>
              </w:rPr>
              <w:t>SHAP:</w:t>
            </w:r>
            <w:r>
              <w:rPr>
                <w:sz w:val="18"/>
                <w:szCs w:val="18"/>
              </w:rPr>
              <w:t xml:space="preserve"> similarly </w:t>
            </w:r>
            <w:r>
              <w:rPr>
                <w:b/>
                <w:bCs/>
                <w:sz w:val="18"/>
                <w:szCs w:val="18"/>
              </w:rPr>
              <w:t>small</w:t>
            </w:r>
            <w:r>
              <w:rPr>
                <w:sz w:val="18"/>
                <w:szCs w:val="18"/>
              </w:rPr>
              <w:t xml:space="preserve"> positives (MAP −0.01 to +0.09 range overall).</w:t>
            </w:r>
            <w:r>
              <w:rPr>
                <w:sz w:val="18"/>
                <w:szCs w:val="18"/>
              </w:rPr>
              <w:br/>
            </w:r>
            <w:r>
              <w:rPr>
                <w:b/>
                <w:bCs/>
                <w:sz w:val="18"/>
                <w:szCs w:val="18"/>
              </w:rPr>
              <w:t>Reconciliation:</w:t>
            </w:r>
            <w:r>
              <w:rPr>
                <w:sz w:val="18"/>
                <w:szCs w:val="18"/>
              </w:rPr>
              <w:t xml:space="preserve"> These act as </w:t>
            </w:r>
            <w:r>
              <w:rPr>
                <w:b/>
                <w:bCs/>
                <w:sz w:val="18"/>
                <w:szCs w:val="18"/>
              </w:rPr>
              <w:t>context stabilizers</w:t>
            </w:r>
            <w:r>
              <w:rPr>
                <w:sz w:val="18"/>
                <w:szCs w:val="18"/>
              </w:rPr>
              <w:t xml:space="preserve"> rather than primary drivers; differences in sign/magnitude are negligible.</w:t>
            </w:r>
          </w:p>
          <w:p w14:paraId="7632FD30" w14:textId="77777777" w:rsidR="00714E88" w:rsidRDefault="00000000" w:rsidP="00B1418D">
            <w:pPr>
              <w:pStyle w:val="TSP42tablebody"/>
              <w:numPr>
                <w:ilvl w:val="0"/>
                <w:numId w:val="35"/>
              </w:numPr>
              <w:jc w:val="both"/>
              <w:rPr>
                <w:sz w:val="18"/>
                <w:szCs w:val="18"/>
              </w:rPr>
            </w:pPr>
            <w:r>
              <w:rPr>
                <w:b/>
                <w:bCs/>
                <w:sz w:val="18"/>
                <w:szCs w:val="18"/>
              </w:rPr>
              <w:t>L/100KM</w:t>
            </w:r>
          </w:p>
          <w:p w14:paraId="1D2819BE" w14:textId="77777777" w:rsidR="00714E88" w:rsidRDefault="00000000" w:rsidP="00B1418D">
            <w:pPr>
              <w:pStyle w:val="TSP42tablebody"/>
              <w:numPr>
                <w:ilvl w:val="0"/>
                <w:numId w:val="36"/>
              </w:numPr>
              <w:jc w:val="both"/>
              <w:rPr>
                <w:sz w:val="18"/>
                <w:szCs w:val="18"/>
              </w:rPr>
            </w:pPr>
            <w:r>
              <w:rPr>
                <w:sz w:val="18"/>
                <w:szCs w:val="18"/>
              </w:rPr>
              <w:t xml:space="preserve">Explicitly </w:t>
            </w:r>
            <w:r>
              <w:rPr>
                <w:b/>
                <w:bCs/>
                <w:sz w:val="18"/>
                <w:szCs w:val="18"/>
              </w:rPr>
              <w:t>negative</w:t>
            </w:r>
            <w:r>
              <w:rPr>
                <w:sz w:val="18"/>
                <w:szCs w:val="18"/>
              </w:rPr>
              <w:t xml:space="preserve"> in SHAP (−0.26) but not promoted by LIME.</w:t>
            </w:r>
            <w:r>
              <w:rPr>
                <w:sz w:val="18"/>
                <w:szCs w:val="18"/>
              </w:rPr>
              <w:br/>
            </w:r>
            <w:r>
              <w:rPr>
                <w:b/>
                <w:bCs/>
                <w:sz w:val="18"/>
                <w:szCs w:val="18"/>
              </w:rPr>
              <w:t>Reconciliation:</w:t>
            </w:r>
            <w:r>
              <w:rPr>
                <w:sz w:val="18"/>
                <w:szCs w:val="18"/>
              </w:rPr>
              <w:t xml:space="preserve"> L/100KM opposes the rich label, but its magnitude is far smaller than the cluster of strong pro-rich signals; </w:t>
            </w:r>
            <w:proofErr w:type="gramStart"/>
            <w:r>
              <w:rPr>
                <w:sz w:val="18"/>
                <w:szCs w:val="18"/>
              </w:rPr>
              <w:t>therefore</w:t>
            </w:r>
            <w:proofErr w:type="gramEnd"/>
            <w:r>
              <w:rPr>
                <w:sz w:val="18"/>
                <w:szCs w:val="18"/>
              </w:rPr>
              <w:t xml:space="preserve"> it does not alter the outcome.</w:t>
            </w:r>
          </w:p>
          <w:p w14:paraId="267058E1" w14:textId="77777777" w:rsidR="00714E88" w:rsidRDefault="00000000">
            <w:pPr>
              <w:pStyle w:val="TSP42tablebody"/>
              <w:jc w:val="both"/>
              <w:rPr>
                <w:b/>
                <w:bCs/>
                <w:sz w:val="18"/>
                <w:szCs w:val="18"/>
              </w:rPr>
            </w:pPr>
            <w:r>
              <w:rPr>
                <w:b/>
                <w:bCs/>
                <w:sz w:val="18"/>
                <w:szCs w:val="18"/>
              </w:rPr>
              <w:t>4) Integrated Decision Logic (synthesized reasoning)</w:t>
            </w:r>
          </w:p>
          <w:p w14:paraId="3F0E74D3" w14:textId="77777777" w:rsidR="00714E88" w:rsidRDefault="00000000" w:rsidP="00B1418D">
            <w:pPr>
              <w:pStyle w:val="TSP42tablebody"/>
              <w:numPr>
                <w:ilvl w:val="0"/>
                <w:numId w:val="37"/>
              </w:numPr>
              <w:jc w:val="both"/>
              <w:rPr>
                <w:sz w:val="18"/>
                <w:szCs w:val="18"/>
              </w:rPr>
            </w:pPr>
            <w:r>
              <w:rPr>
                <w:b/>
                <w:bCs/>
                <w:sz w:val="18"/>
                <w:szCs w:val="18"/>
              </w:rPr>
              <w:t>Anchor signals — exhaust chemistry:</w:t>
            </w:r>
            <w:r>
              <w:rPr>
                <w:sz w:val="18"/>
                <w:szCs w:val="18"/>
              </w:rPr>
              <w:t xml:space="preserve"> The model first locks onto </w:t>
            </w:r>
            <w:r>
              <w:rPr>
                <w:b/>
                <w:bCs/>
                <w:sz w:val="18"/>
                <w:szCs w:val="18"/>
              </w:rPr>
              <w:t>O₂</w:t>
            </w:r>
            <w:r>
              <w:rPr>
                <w:sz w:val="18"/>
                <w:szCs w:val="18"/>
              </w:rPr>
              <w:t xml:space="preserve">, </w:t>
            </w:r>
            <w:r>
              <w:rPr>
                <w:b/>
                <w:bCs/>
                <w:sz w:val="18"/>
                <w:szCs w:val="18"/>
              </w:rPr>
              <w:t>CO</w:t>
            </w:r>
            <w:r>
              <w:rPr>
                <w:sz w:val="18"/>
                <w:szCs w:val="18"/>
              </w:rPr>
              <w:t xml:space="preserve">, and </w:t>
            </w:r>
            <w:r>
              <w:rPr>
                <w:b/>
                <w:bCs/>
                <w:sz w:val="18"/>
                <w:szCs w:val="18"/>
              </w:rPr>
              <w:t>CO₂</w:t>
            </w:r>
            <w:r>
              <w:rPr>
                <w:sz w:val="18"/>
                <w:szCs w:val="18"/>
              </w:rPr>
              <w:t xml:space="preserve"> as a triad strongly characteristic of a fuel-rich state for this operating point (convergent positives in both methods).</w:t>
            </w:r>
          </w:p>
          <w:p w14:paraId="28A48843" w14:textId="77777777" w:rsidR="00714E88" w:rsidRDefault="00000000" w:rsidP="00B1418D">
            <w:pPr>
              <w:pStyle w:val="TSP42tablebody"/>
              <w:numPr>
                <w:ilvl w:val="0"/>
                <w:numId w:val="37"/>
              </w:numPr>
              <w:jc w:val="both"/>
              <w:rPr>
                <w:sz w:val="18"/>
                <w:szCs w:val="18"/>
              </w:rPr>
            </w:pPr>
            <w:r>
              <w:rPr>
                <w:b/>
                <w:bCs/>
                <w:sz w:val="18"/>
                <w:szCs w:val="18"/>
              </w:rPr>
              <w:t>Operational reinforcement — load &amp; rate:</w:t>
            </w:r>
            <w:r>
              <w:rPr>
                <w:sz w:val="18"/>
                <w:szCs w:val="18"/>
              </w:rPr>
              <w:t xml:space="preserve"> </w:t>
            </w:r>
            <w:r>
              <w:rPr>
                <w:b/>
                <w:bCs/>
                <w:sz w:val="18"/>
                <w:szCs w:val="18"/>
              </w:rPr>
              <w:t>Power</w:t>
            </w:r>
            <w:r>
              <w:rPr>
                <w:sz w:val="18"/>
                <w:szCs w:val="18"/>
              </w:rPr>
              <w:t xml:space="preserve"> and </w:t>
            </w:r>
            <w:r>
              <w:rPr>
                <w:b/>
                <w:bCs/>
                <w:sz w:val="18"/>
                <w:szCs w:val="18"/>
              </w:rPr>
              <w:t>Force</w:t>
            </w:r>
            <w:r>
              <w:rPr>
                <w:sz w:val="18"/>
                <w:szCs w:val="18"/>
              </w:rPr>
              <w:t xml:space="preserve"> (and, per SHAP, </w:t>
            </w:r>
            <w:r>
              <w:rPr>
                <w:b/>
                <w:bCs/>
                <w:sz w:val="18"/>
                <w:szCs w:val="18"/>
              </w:rPr>
              <w:t>RPM/Speed</w:t>
            </w:r>
            <w:r>
              <w:rPr>
                <w:sz w:val="18"/>
                <w:szCs w:val="18"/>
              </w:rPr>
              <w:t xml:space="preserve">) elevate the rich likelihood by matching learned load–combustion couplings. </w:t>
            </w:r>
            <w:r>
              <w:rPr>
                <w:b/>
                <w:bCs/>
                <w:sz w:val="18"/>
                <w:szCs w:val="18"/>
              </w:rPr>
              <w:t>Consumption L/H</w:t>
            </w:r>
            <w:r>
              <w:rPr>
                <w:sz w:val="18"/>
                <w:szCs w:val="18"/>
              </w:rPr>
              <w:t xml:space="preserve"> further increases the score when considered jointly with these load cues (captured by SHAP).</w:t>
            </w:r>
          </w:p>
          <w:p w14:paraId="4B0C425D" w14:textId="77777777" w:rsidR="00714E88" w:rsidRDefault="00000000" w:rsidP="00B1418D">
            <w:pPr>
              <w:pStyle w:val="TSP42tablebody"/>
              <w:numPr>
                <w:ilvl w:val="0"/>
                <w:numId w:val="37"/>
              </w:numPr>
              <w:jc w:val="both"/>
              <w:rPr>
                <w:sz w:val="18"/>
                <w:szCs w:val="18"/>
              </w:rPr>
            </w:pPr>
            <w:r>
              <w:rPr>
                <w:b/>
                <w:bCs/>
                <w:sz w:val="18"/>
                <w:szCs w:val="18"/>
              </w:rPr>
              <w:t>Corrective/tempering cues:</w:t>
            </w:r>
            <w:r>
              <w:rPr>
                <w:sz w:val="18"/>
                <w:szCs w:val="18"/>
              </w:rPr>
              <w:t xml:space="preserve"> </w:t>
            </w:r>
            <w:r>
              <w:rPr>
                <w:b/>
                <w:bCs/>
                <w:sz w:val="18"/>
                <w:szCs w:val="18"/>
              </w:rPr>
              <w:t>Low HC</w:t>
            </w:r>
            <w:r>
              <w:rPr>
                <w:sz w:val="18"/>
                <w:szCs w:val="18"/>
              </w:rPr>
              <w:t xml:space="preserve"> in LIME and </w:t>
            </w:r>
            <w:r>
              <w:rPr>
                <w:b/>
                <w:bCs/>
                <w:sz w:val="18"/>
                <w:szCs w:val="18"/>
              </w:rPr>
              <w:t>L/100KM</w:t>
            </w:r>
            <w:r>
              <w:rPr>
                <w:sz w:val="18"/>
                <w:szCs w:val="18"/>
              </w:rPr>
              <w:t xml:space="preserve"> in SHAP counter the rich hypothesis, but their magnitudes are small relative to the anchors.</w:t>
            </w:r>
          </w:p>
          <w:p w14:paraId="305AC353" w14:textId="77777777" w:rsidR="00714E88" w:rsidRDefault="00000000" w:rsidP="00B1418D">
            <w:pPr>
              <w:pStyle w:val="TSP42tablebody"/>
              <w:numPr>
                <w:ilvl w:val="0"/>
                <w:numId w:val="37"/>
              </w:numPr>
              <w:jc w:val="both"/>
              <w:rPr>
                <w:sz w:val="18"/>
                <w:szCs w:val="18"/>
              </w:rPr>
            </w:pPr>
            <w:r>
              <w:rPr>
                <w:b/>
                <w:bCs/>
                <w:sz w:val="18"/>
                <w:szCs w:val="18"/>
              </w:rPr>
              <w:t>Resolution:</w:t>
            </w:r>
            <w:r>
              <w:rPr>
                <w:sz w:val="18"/>
                <w:szCs w:val="18"/>
              </w:rPr>
              <w:t xml:space="preserve"> The </w:t>
            </w:r>
            <w:r>
              <w:rPr>
                <w:b/>
                <w:bCs/>
                <w:sz w:val="18"/>
                <w:szCs w:val="18"/>
              </w:rPr>
              <w:t>aggregate of strong, consistent exhaust features plus load-aligned reinforcement</w:t>
            </w:r>
            <w:r>
              <w:rPr>
                <w:sz w:val="18"/>
                <w:szCs w:val="18"/>
              </w:rPr>
              <w:t xml:space="preserve"> decisively outweighs the minor counter-evidence, yielding a </w:t>
            </w:r>
            <w:r>
              <w:rPr>
                <w:b/>
                <w:bCs/>
                <w:sz w:val="18"/>
                <w:szCs w:val="18"/>
              </w:rPr>
              <w:t>high-confidence Rich Mixture</w:t>
            </w:r>
            <w:r>
              <w:rPr>
                <w:sz w:val="18"/>
                <w:szCs w:val="18"/>
              </w:rPr>
              <w:t xml:space="preserve"> decision.</w:t>
            </w:r>
          </w:p>
          <w:p w14:paraId="25042351" w14:textId="77777777" w:rsidR="00714E88" w:rsidRDefault="00000000">
            <w:pPr>
              <w:pStyle w:val="TSP42tablebody"/>
              <w:jc w:val="both"/>
              <w:rPr>
                <w:rFonts w:eastAsiaTheme="minorEastAsia"/>
                <w:b/>
                <w:bCs/>
                <w:sz w:val="18"/>
                <w:szCs w:val="18"/>
                <w:lang w:eastAsia="ko-KR"/>
              </w:rPr>
            </w:pPr>
            <w:r>
              <w:rPr>
                <w:b/>
                <w:bCs/>
                <w:sz w:val="18"/>
                <w:szCs w:val="18"/>
              </w:rPr>
              <w:t>5) Conclusion</w:t>
            </w:r>
          </w:p>
          <w:p w14:paraId="2ACB9DF0" w14:textId="77777777" w:rsidR="00714E88" w:rsidRDefault="00000000" w:rsidP="00B1418D">
            <w:pPr>
              <w:pStyle w:val="TSP42tablebody"/>
              <w:numPr>
                <w:ilvl w:val="0"/>
                <w:numId w:val="38"/>
              </w:numPr>
              <w:jc w:val="both"/>
              <w:rPr>
                <w:sz w:val="18"/>
                <w:szCs w:val="18"/>
              </w:rPr>
            </w:pPr>
            <w:r>
              <w:rPr>
                <w:b/>
                <w:bCs/>
                <w:sz w:val="18"/>
                <w:szCs w:val="18"/>
              </w:rPr>
              <w:t>Diagnosis:</w:t>
            </w:r>
            <w:r>
              <w:rPr>
                <w:sz w:val="18"/>
                <w:szCs w:val="18"/>
              </w:rPr>
              <w:t xml:space="preserve"> </w:t>
            </w:r>
            <w:r>
              <w:rPr>
                <w:b/>
                <w:bCs/>
                <w:sz w:val="18"/>
                <w:szCs w:val="18"/>
              </w:rPr>
              <w:t>Rich Mixture (p = 1.00).</w:t>
            </w:r>
          </w:p>
          <w:p w14:paraId="6076CCEA" w14:textId="77777777" w:rsidR="00714E88" w:rsidRDefault="00000000" w:rsidP="00B1418D">
            <w:pPr>
              <w:pStyle w:val="TSP42tablebody"/>
              <w:numPr>
                <w:ilvl w:val="0"/>
                <w:numId w:val="38"/>
              </w:numPr>
              <w:jc w:val="both"/>
              <w:rPr>
                <w:sz w:val="18"/>
                <w:szCs w:val="18"/>
              </w:rPr>
            </w:pPr>
            <w:r>
              <w:rPr>
                <w:b/>
                <w:bCs/>
                <w:sz w:val="18"/>
                <w:szCs w:val="18"/>
              </w:rPr>
              <w:t>Why:</w:t>
            </w:r>
            <w:r>
              <w:rPr>
                <w:sz w:val="18"/>
                <w:szCs w:val="18"/>
              </w:rPr>
              <w:t xml:space="preserve"> Dominant, mutually corroborated evidence from </w:t>
            </w:r>
            <w:r>
              <w:rPr>
                <w:b/>
                <w:bCs/>
                <w:sz w:val="18"/>
                <w:szCs w:val="18"/>
              </w:rPr>
              <w:t>O₂, CO, CO₂</w:t>
            </w:r>
            <w:r>
              <w:rPr>
                <w:sz w:val="18"/>
                <w:szCs w:val="18"/>
              </w:rPr>
              <w:t xml:space="preserve">, reinforced by </w:t>
            </w:r>
            <w:r>
              <w:rPr>
                <w:b/>
                <w:bCs/>
                <w:sz w:val="18"/>
                <w:szCs w:val="18"/>
              </w:rPr>
              <w:t>Power/Force</w:t>
            </w:r>
            <w:r>
              <w:rPr>
                <w:sz w:val="18"/>
                <w:szCs w:val="18"/>
              </w:rPr>
              <w:t xml:space="preserve"> (and SHAP’s positive </w:t>
            </w:r>
            <w:r>
              <w:rPr>
                <w:b/>
                <w:bCs/>
                <w:sz w:val="18"/>
                <w:szCs w:val="18"/>
              </w:rPr>
              <w:t>L/H</w:t>
            </w:r>
            <w:r>
              <w:rPr>
                <w:sz w:val="18"/>
                <w:szCs w:val="18"/>
              </w:rPr>
              <w:t xml:space="preserve">, </w:t>
            </w:r>
            <w:r>
              <w:rPr>
                <w:b/>
                <w:bCs/>
                <w:sz w:val="18"/>
                <w:szCs w:val="18"/>
              </w:rPr>
              <w:t>RPM</w:t>
            </w:r>
            <w:r>
              <w:rPr>
                <w:sz w:val="18"/>
                <w:szCs w:val="18"/>
              </w:rPr>
              <w:t xml:space="preserve">, </w:t>
            </w:r>
            <w:r>
              <w:rPr>
                <w:b/>
                <w:bCs/>
                <w:sz w:val="18"/>
                <w:szCs w:val="18"/>
              </w:rPr>
              <w:t>Speed</w:t>
            </w:r>
            <w:r>
              <w:rPr>
                <w:sz w:val="18"/>
                <w:szCs w:val="18"/>
              </w:rPr>
              <w:t>) reflects a locally rich combustion regime.</w:t>
            </w:r>
          </w:p>
          <w:p w14:paraId="48A006D9" w14:textId="77777777" w:rsidR="00714E88" w:rsidRDefault="00000000" w:rsidP="00B1418D">
            <w:pPr>
              <w:pStyle w:val="TSP42tablebody"/>
              <w:numPr>
                <w:ilvl w:val="0"/>
                <w:numId w:val="38"/>
              </w:numPr>
              <w:jc w:val="both"/>
              <w:rPr>
                <w:sz w:val="18"/>
                <w:szCs w:val="18"/>
              </w:rPr>
            </w:pPr>
            <w:r>
              <w:rPr>
                <w:b/>
                <w:bCs/>
                <w:sz w:val="18"/>
                <w:szCs w:val="18"/>
              </w:rPr>
              <w:t>Discrepancies &amp; impact:</w:t>
            </w:r>
            <w:r>
              <w:rPr>
                <w:sz w:val="18"/>
                <w:szCs w:val="18"/>
              </w:rPr>
              <w:t xml:space="preserve"> Differences on </w:t>
            </w:r>
            <w:r>
              <w:rPr>
                <w:b/>
                <w:bCs/>
                <w:sz w:val="18"/>
                <w:szCs w:val="18"/>
              </w:rPr>
              <w:t>HC</w:t>
            </w:r>
            <w:r>
              <w:rPr>
                <w:sz w:val="18"/>
                <w:szCs w:val="18"/>
              </w:rPr>
              <w:t xml:space="preserve"> (LIME− vs SHAP+) and </w:t>
            </w:r>
            <w:r>
              <w:rPr>
                <w:b/>
                <w:bCs/>
                <w:sz w:val="18"/>
                <w:szCs w:val="18"/>
              </w:rPr>
              <w:t>L/H</w:t>
            </w:r>
            <w:r>
              <w:rPr>
                <w:sz w:val="18"/>
                <w:szCs w:val="18"/>
              </w:rPr>
              <w:t xml:space="preserve"> (LIME− vs SHAP+) arise from </w:t>
            </w:r>
            <w:r>
              <w:rPr>
                <w:b/>
                <w:bCs/>
                <w:sz w:val="18"/>
                <w:szCs w:val="18"/>
              </w:rPr>
              <w:t>rule binning vs. continuous interaction modeling</w:t>
            </w:r>
            <w:r>
              <w:rPr>
                <w:sz w:val="18"/>
                <w:szCs w:val="18"/>
              </w:rPr>
              <w:t xml:space="preserve">; their net effects are </w:t>
            </w:r>
            <w:r>
              <w:rPr>
                <w:b/>
                <w:bCs/>
                <w:sz w:val="18"/>
                <w:szCs w:val="18"/>
              </w:rPr>
              <w:t>small</w:t>
            </w:r>
            <w:r>
              <w:rPr>
                <w:sz w:val="18"/>
                <w:szCs w:val="18"/>
              </w:rPr>
              <w:t xml:space="preserve"> and do not challenge the conclusion.</w:t>
            </w:r>
          </w:p>
          <w:p w14:paraId="3E338481" w14:textId="77777777" w:rsidR="00714E88" w:rsidRDefault="00000000" w:rsidP="00B1418D">
            <w:pPr>
              <w:pStyle w:val="TSP42tablebody"/>
              <w:numPr>
                <w:ilvl w:val="0"/>
                <w:numId w:val="38"/>
              </w:numPr>
              <w:jc w:val="both"/>
              <w:rPr>
                <w:sz w:val="18"/>
                <w:szCs w:val="18"/>
              </w:rPr>
            </w:pPr>
            <w:r>
              <w:rPr>
                <w:b/>
                <w:bCs/>
                <w:sz w:val="18"/>
                <w:szCs w:val="18"/>
              </w:rPr>
              <w:t>Interpretive note:</w:t>
            </w:r>
            <w:r>
              <w:rPr>
                <w:sz w:val="18"/>
                <w:szCs w:val="18"/>
              </w:rPr>
              <w:t xml:space="preserve"> For this instance, the underlying model </w:t>
            </w:r>
            <w:r>
              <w:rPr>
                <w:b/>
                <w:bCs/>
                <w:sz w:val="18"/>
                <w:szCs w:val="18"/>
              </w:rPr>
              <w:t>prioritizes exhaust composition</w:t>
            </w:r>
            <w:r>
              <w:rPr>
                <w:sz w:val="18"/>
                <w:szCs w:val="18"/>
              </w:rPr>
              <w:t xml:space="preserve">, with load and hourly consumption acting as </w:t>
            </w:r>
            <w:r>
              <w:rPr>
                <w:b/>
                <w:bCs/>
                <w:sz w:val="18"/>
                <w:szCs w:val="18"/>
              </w:rPr>
              <w:t>contextual amplifiers</w:t>
            </w:r>
            <w:r>
              <w:rPr>
                <w:sz w:val="18"/>
                <w:szCs w:val="18"/>
              </w:rPr>
              <w:t>; distance-based efficiency provides weak opposition.</w:t>
            </w:r>
          </w:p>
        </w:tc>
      </w:tr>
    </w:tbl>
    <w:p w14:paraId="1781E5D7" w14:textId="77777777" w:rsidR="00714E88" w:rsidRDefault="00000000">
      <w:pPr>
        <w:pStyle w:val="a"/>
        <w:spacing w:before="240" w:line="276" w:lineRule="auto"/>
        <w:rPr>
          <w:rFonts w:ascii="Times New Roman" w:eastAsiaTheme="majorHAnsi" w:hAnsi="Times New Roman" w:cs="Times New Roman"/>
        </w:rPr>
      </w:pPr>
      <w:r>
        <w:rPr>
          <w:rFonts w:ascii="Times New Roman" w:eastAsiaTheme="majorHAnsi" w:hAnsi="Times New Roman" w:cs="Times New Roman"/>
          <w:noProof/>
        </w:rPr>
        <w:lastRenderedPageBreak/>
        <w:drawing>
          <wp:inline distT="0" distB="0" distL="0" distR="0" wp14:anchorId="627C6A77" wp14:editId="5A0D37A9">
            <wp:extent cx="5731510" cy="2118360"/>
            <wp:effectExtent l="0" t="0" r="2540" b="0"/>
            <wp:docPr id="731191412" name="그림 8" descr="텍스트, 스크린샷, 도표, 라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191412" name="그림 8" descr="텍스트, 스크린샷, 도표, 라인이(가) 표시된 사진&#10;&#10;AI 생성 콘텐츠는 정확하지 않을 수 있습니다."/>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731510" cy="2118360"/>
                    </a:xfrm>
                    <a:prstGeom prst="rect">
                      <a:avLst/>
                    </a:prstGeom>
                    <a:noFill/>
                    <a:ln>
                      <a:noFill/>
                    </a:ln>
                  </pic:spPr>
                </pic:pic>
              </a:graphicData>
            </a:graphic>
          </wp:inline>
        </w:drawing>
      </w:r>
    </w:p>
    <w:p w14:paraId="6D5B34DB" w14:textId="77777777" w:rsidR="00714E88" w:rsidRDefault="00000000">
      <w:pPr>
        <w:pStyle w:val="TSP52figure"/>
        <w:rPr>
          <w:rFonts w:eastAsia="Malgun Gothic"/>
          <w:lang w:eastAsia="ko-KR"/>
        </w:rPr>
      </w:pPr>
      <w:r>
        <w:rPr>
          <w:b/>
        </w:rPr>
        <w:t xml:space="preserve">Figure </w:t>
      </w:r>
      <w:r>
        <w:rPr>
          <w:rFonts w:eastAsiaTheme="minorEastAsia" w:hint="eastAsia"/>
          <w:b/>
          <w:lang w:eastAsia="ko-KR"/>
        </w:rPr>
        <w:t>S</w:t>
      </w:r>
      <w:r>
        <w:rPr>
          <w:rFonts w:eastAsia="Malgun Gothic" w:hint="eastAsia"/>
          <w:b/>
          <w:lang w:eastAsia="ko-KR"/>
        </w:rPr>
        <w:t>5</w:t>
      </w:r>
      <w:r>
        <w:rPr>
          <w:b/>
        </w:rPr>
        <w:t xml:space="preserve">: </w:t>
      </w:r>
      <w:r>
        <w:rPr>
          <w:rFonts w:eastAsia="Malgun Gothic" w:hint="eastAsia"/>
          <w:lang w:eastAsia="ko-KR"/>
        </w:rPr>
        <w:t xml:space="preserve">LIME plot of proposed method </w:t>
      </w:r>
      <w:r>
        <w:rPr>
          <w:rFonts w:eastAsia="Malgun Gothic"/>
          <w:lang w:eastAsia="ko-KR"/>
        </w:rPr>
        <w:t>–</w:t>
      </w:r>
      <w:r>
        <w:rPr>
          <w:rFonts w:eastAsia="Malgun Gothic" w:hint="eastAsia"/>
          <w:lang w:eastAsia="ko-KR"/>
        </w:rPr>
        <w:t xml:space="preserve"> classified as Low Voltage</w:t>
      </w:r>
    </w:p>
    <w:p w14:paraId="5F07A7E6" w14:textId="77777777" w:rsidR="00714E88" w:rsidRDefault="00000000">
      <w:pPr>
        <w:pStyle w:val="TSP41tablecaption"/>
        <w:jc w:val="center"/>
      </w:pPr>
      <w:r>
        <w:rPr>
          <w:b/>
        </w:rPr>
        <w:t xml:space="preserve">Table </w:t>
      </w:r>
      <w:r>
        <w:rPr>
          <w:rFonts w:eastAsia="Malgun Gothic" w:hint="eastAsia"/>
          <w:b/>
          <w:lang w:eastAsia="ko-KR"/>
        </w:rPr>
        <w:t>S7</w:t>
      </w:r>
      <w:r>
        <w:rPr>
          <w:b/>
        </w:rPr>
        <w:t xml:space="preserve">: </w:t>
      </w:r>
      <w:r>
        <w:rPr>
          <w:rFonts w:eastAsia="Malgun Gothic" w:hint="eastAsia"/>
          <w:lang w:eastAsia="ko-KR"/>
        </w:rPr>
        <w:t>Interpretation of LIME analysis</w:t>
      </w:r>
      <w:r>
        <w:rPr>
          <w:rFonts w:eastAsia="Malgun Gothic"/>
          <w:lang w:eastAsia="ko-KR"/>
        </w:rPr>
        <w:t xml:space="preserve"> using the </w:t>
      </w:r>
      <w:r>
        <w:rPr>
          <w:rFonts w:eastAsia="Malgun Gothic" w:hint="eastAsia"/>
          <w:lang w:eastAsia="ko-KR"/>
        </w:rPr>
        <w:t>V</w:t>
      </w:r>
      <w:r>
        <w:rPr>
          <w:rFonts w:eastAsia="Malgun Gothic"/>
          <w:lang w:eastAsia="ko-KR"/>
        </w:rPr>
        <w:t>LM</w:t>
      </w:r>
      <w:r>
        <w:rPr>
          <w:rFonts w:eastAsia="Malgun Gothic" w:hint="eastAsia"/>
          <w:lang w:eastAsia="ko-KR"/>
        </w:rPr>
        <w:t xml:space="preserve"> </w:t>
      </w:r>
      <w:r>
        <w:rPr>
          <w:rFonts w:eastAsia="Malgun Gothic"/>
          <w:lang w:eastAsia="ko-KR"/>
        </w:rPr>
        <w:t>–</w:t>
      </w:r>
      <w:r>
        <w:rPr>
          <w:rFonts w:eastAsia="Malgun Gothic" w:hint="eastAsia"/>
          <w:lang w:eastAsia="ko-KR"/>
        </w:rPr>
        <w:t xml:space="preserve"> corresponding to Figure S5</w:t>
      </w:r>
    </w:p>
    <w:tbl>
      <w:tblPr>
        <w:tblW w:w="9361" w:type="dxa"/>
        <w:jc w:val="center"/>
        <w:tblBorders>
          <w:top w:val="single" w:sz="4" w:space="0" w:color="auto"/>
          <w:bottom w:val="single" w:sz="4" w:space="0" w:color="auto"/>
        </w:tblBorders>
        <w:tblLayout w:type="fixed"/>
        <w:tblCellMar>
          <w:left w:w="0" w:type="dxa"/>
          <w:right w:w="0" w:type="dxa"/>
        </w:tblCellMar>
        <w:tblLook w:val="04A0" w:firstRow="1" w:lastRow="0" w:firstColumn="1" w:lastColumn="0" w:noHBand="0" w:noVBand="1"/>
      </w:tblPr>
      <w:tblGrid>
        <w:gridCol w:w="9361"/>
      </w:tblGrid>
      <w:tr w:rsidR="00714E88" w14:paraId="5EB373F2" w14:textId="77777777">
        <w:trPr>
          <w:trHeight w:val="231"/>
          <w:jc w:val="center"/>
        </w:trPr>
        <w:tc>
          <w:tcPr>
            <w:tcW w:w="9361" w:type="dxa"/>
            <w:tcBorders>
              <w:top w:val="single" w:sz="4" w:space="0" w:color="auto"/>
              <w:bottom w:val="single" w:sz="4" w:space="0" w:color="auto"/>
            </w:tcBorders>
            <w:vAlign w:val="center"/>
          </w:tcPr>
          <w:p w14:paraId="43C10396" w14:textId="77777777" w:rsidR="00714E88" w:rsidRDefault="00000000">
            <w:pPr>
              <w:pStyle w:val="TSP42tablebody"/>
              <w:rPr>
                <w:rFonts w:eastAsia="Malgun Gothic"/>
                <w:b/>
                <w:bCs/>
                <w:sz w:val="18"/>
                <w:szCs w:val="18"/>
                <w:lang w:eastAsia="ko-KR"/>
              </w:rPr>
            </w:pPr>
            <w:r>
              <w:rPr>
                <w:rFonts w:eastAsia="Malgun Gothic" w:hint="eastAsia"/>
                <w:b/>
                <w:bCs/>
                <w:sz w:val="18"/>
                <w:szCs w:val="18"/>
                <w:lang w:eastAsia="ko-KR"/>
              </w:rPr>
              <w:t>Result</w:t>
            </w:r>
          </w:p>
        </w:tc>
      </w:tr>
      <w:tr w:rsidR="00714E88" w14:paraId="053B0945" w14:textId="77777777">
        <w:trPr>
          <w:trHeight w:val="137"/>
          <w:jc w:val="center"/>
        </w:trPr>
        <w:tc>
          <w:tcPr>
            <w:tcW w:w="9361" w:type="dxa"/>
            <w:tcBorders>
              <w:top w:val="single" w:sz="4" w:space="0" w:color="auto"/>
              <w:bottom w:val="single" w:sz="4" w:space="0" w:color="auto"/>
            </w:tcBorders>
            <w:vAlign w:val="center"/>
          </w:tcPr>
          <w:p w14:paraId="2573FEAE" w14:textId="77777777" w:rsidR="00714E88" w:rsidRDefault="00000000">
            <w:pPr>
              <w:pStyle w:val="TSP42tablebody"/>
              <w:jc w:val="both"/>
              <w:rPr>
                <w:b/>
                <w:bCs/>
                <w:sz w:val="18"/>
                <w:szCs w:val="18"/>
              </w:rPr>
            </w:pPr>
            <w:r>
              <w:rPr>
                <w:b/>
                <w:bCs/>
                <w:sz w:val="18"/>
                <w:szCs w:val="18"/>
              </w:rPr>
              <w:t xml:space="preserve">Local Explanation of LIME Output for Instance Classified as </w:t>
            </w:r>
            <w:r>
              <w:rPr>
                <w:b/>
                <w:bCs/>
                <w:i/>
                <w:iCs/>
                <w:sz w:val="18"/>
                <w:szCs w:val="18"/>
              </w:rPr>
              <w:t>Low Voltage</w:t>
            </w:r>
          </w:p>
          <w:p w14:paraId="6DFE2509" w14:textId="77777777" w:rsidR="00714E88" w:rsidRDefault="00000000">
            <w:pPr>
              <w:pStyle w:val="TSP42tablebody"/>
              <w:jc w:val="both"/>
              <w:rPr>
                <w:b/>
                <w:bCs/>
                <w:sz w:val="18"/>
                <w:szCs w:val="18"/>
              </w:rPr>
            </w:pPr>
            <w:r>
              <w:rPr>
                <w:b/>
                <w:bCs/>
                <w:sz w:val="18"/>
                <w:szCs w:val="18"/>
              </w:rPr>
              <w:t>1. Key Features</w:t>
            </w:r>
          </w:p>
          <w:p w14:paraId="49DFC394" w14:textId="77777777" w:rsidR="00714E88" w:rsidRDefault="00000000" w:rsidP="00B1418D">
            <w:pPr>
              <w:pStyle w:val="TSP42tablebody"/>
              <w:numPr>
                <w:ilvl w:val="0"/>
                <w:numId w:val="39"/>
              </w:numPr>
              <w:jc w:val="both"/>
              <w:rPr>
                <w:sz w:val="18"/>
                <w:szCs w:val="18"/>
              </w:rPr>
            </w:pPr>
            <w:r>
              <w:rPr>
                <w:sz w:val="18"/>
                <w:szCs w:val="18"/>
              </w:rPr>
              <w:t xml:space="preserve">The classifier predicted </w:t>
            </w:r>
            <w:r>
              <w:rPr>
                <w:b/>
                <w:bCs/>
                <w:sz w:val="18"/>
                <w:szCs w:val="18"/>
              </w:rPr>
              <w:t>Low Voltage</w:t>
            </w:r>
            <w:r>
              <w:rPr>
                <w:sz w:val="18"/>
                <w:szCs w:val="18"/>
              </w:rPr>
              <w:t xml:space="preserve"> with high probability (</w:t>
            </w:r>
            <w:r>
              <w:rPr>
                <w:b/>
                <w:bCs/>
                <w:sz w:val="18"/>
                <w:szCs w:val="18"/>
              </w:rPr>
              <w:t>0.85</w:t>
            </w:r>
            <w:r>
              <w:rPr>
                <w:sz w:val="18"/>
                <w:szCs w:val="18"/>
              </w:rPr>
              <w:t>). The following features exerted the strongest influence on this decision:</w:t>
            </w:r>
          </w:p>
          <w:p w14:paraId="285EE19B" w14:textId="77777777" w:rsidR="00714E88" w:rsidRDefault="00000000" w:rsidP="00B1418D">
            <w:pPr>
              <w:pStyle w:val="TSP42tablebody"/>
              <w:numPr>
                <w:ilvl w:val="0"/>
                <w:numId w:val="39"/>
              </w:numPr>
              <w:jc w:val="both"/>
              <w:rPr>
                <w:sz w:val="18"/>
                <w:szCs w:val="18"/>
              </w:rPr>
            </w:pPr>
            <w:r>
              <w:rPr>
                <w:b/>
                <w:bCs/>
                <w:sz w:val="18"/>
                <w:szCs w:val="18"/>
              </w:rPr>
              <w:t>Positive contributions (supporting Low Voltage):</w:t>
            </w:r>
          </w:p>
          <w:p w14:paraId="5B01ACCE" w14:textId="77777777" w:rsidR="00714E88" w:rsidRDefault="00000000" w:rsidP="00B1418D">
            <w:pPr>
              <w:pStyle w:val="TSP42tablebody"/>
              <w:numPr>
                <w:ilvl w:val="1"/>
                <w:numId w:val="39"/>
              </w:numPr>
              <w:jc w:val="both"/>
              <w:rPr>
                <w:sz w:val="18"/>
                <w:szCs w:val="18"/>
              </w:rPr>
            </w:pPr>
            <w:r>
              <w:rPr>
                <w:b/>
                <w:bCs/>
                <w:sz w:val="18"/>
                <w:szCs w:val="18"/>
              </w:rPr>
              <w:t>O₂ ≤ 0.22</w:t>
            </w:r>
            <w:r>
              <w:rPr>
                <w:sz w:val="18"/>
                <w:szCs w:val="18"/>
              </w:rPr>
              <w:t xml:space="preserve"> strongly supported the classification (</w:t>
            </w:r>
            <w:r>
              <w:rPr>
                <w:b/>
                <w:bCs/>
                <w:sz w:val="18"/>
                <w:szCs w:val="18"/>
              </w:rPr>
              <w:t>+0.08</w:t>
            </w:r>
            <w:r>
              <w:rPr>
                <w:sz w:val="18"/>
                <w:szCs w:val="18"/>
              </w:rPr>
              <w:t>), suggesting oxygen deficiency consistent with weak combustion due to ignition issues.</w:t>
            </w:r>
          </w:p>
          <w:p w14:paraId="6A4F4F33" w14:textId="77777777" w:rsidR="00714E88" w:rsidRDefault="00000000" w:rsidP="00B1418D">
            <w:pPr>
              <w:pStyle w:val="TSP42tablebody"/>
              <w:numPr>
                <w:ilvl w:val="1"/>
                <w:numId w:val="39"/>
              </w:numPr>
              <w:jc w:val="both"/>
              <w:rPr>
                <w:sz w:val="18"/>
                <w:szCs w:val="18"/>
              </w:rPr>
            </w:pPr>
            <w:r>
              <w:rPr>
                <w:b/>
                <w:bCs/>
                <w:sz w:val="18"/>
                <w:szCs w:val="18"/>
              </w:rPr>
              <w:t>0.02 &lt; CO ≤ 0.07</w:t>
            </w:r>
            <w:r>
              <w:rPr>
                <w:sz w:val="18"/>
                <w:szCs w:val="18"/>
              </w:rPr>
              <w:t xml:space="preserve"> provided a comparable positive weight (</w:t>
            </w:r>
            <w:r>
              <w:rPr>
                <w:b/>
                <w:bCs/>
                <w:sz w:val="18"/>
                <w:szCs w:val="18"/>
              </w:rPr>
              <w:t>+0.07</w:t>
            </w:r>
            <w:r>
              <w:rPr>
                <w:sz w:val="18"/>
                <w:szCs w:val="18"/>
              </w:rPr>
              <w:t>), reflecting low but detectable CO emissions linked to incomplete combustion.</w:t>
            </w:r>
          </w:p>
          <w:p w14:paraId="7F9E34BC" w14:textId="77777777" w:rsidR="00714E88" w:rsidRDefault="00000000" w:rsidP="00B1418D">
            <w:pPr>
              <w:pStyle w:val="TSP42tablebody"/>
              <w:numPr>
                <w:ilvl w:val="1"/>
                <w:numId w:val="39"/>
              </w:numPr>
              <w:jc w:val="both"/>
              <w:rPr>
                <w:sz w:val="18"/>
                <w:szCs w:val="18"/>
              </w:rPr>
            </w:pPr>
            <w:r>
              <w:rPr>
                <w:b/>
                <w:bCs/>
                <w:sz w:val="18"/>
                <w:szCs w:val="18"/>
              </w:rPr>
              <w:t>HC ≤ 0.16</w:t>
            </w:r>
            <w:r>
              <w:rPr>
                <w:sz w:val="18"/>
                <w:szCs w:val="18"/>
              </w:rPr>
              <w:t xml:space="preserve"> (</w:t>
            </w:r>
            <w:r>
              <w:rPr>
                <w:b/>
                <w:bCs/>
                <w:sz w:val="18"/>
                <w:szCs w:val="18"/>
              </w:rPr>
              <w:t>+0.05</w:t>
            </w:r>
            <w:r>
              <w:rPr>
                <w:sz w:val="18"/>
                <w:szCs w:val="18"/>
              </w:rPr>
              <w:t xml:space="preserve">) and </w:t>
            </w:r>
            <w:r>
              <w:rPr>
                <w:b/>
                <w:bCs/>
                <w:sz w:val="18"/>
                <w:szCs w:val="18"/>
              </w:rPr>
              <w:t>Consumption L/H &gt; 0.25</w:t>
            </w:r>
            <w:r>
              <w:rPr>
                <w:sz w:val="18"/>
                <w:szCs w:val="18"/>
              </w:rPr>
              <w:t xml:space="preserve"> (</w:t>
            </w:r>
            <w:r>
              <w:rPr>
                <w:b/>
                <w:bCs/>
                <w:sz w:val="18"/>
                <w:szCs w:val="18"/>
              </w:rPr>
              <w:t>+0.05</w:t>
            </w:r>
            <w:r>
              <w:rPr>
                <w:sz w:val="18"/>
                <w:szCs w:val="18"/>
              </w:rPr>
              <w:t>) further supported the low-voltage hypothesis, the former indicating relatively low unburned hydrocarbons and the latter reflecting inefficient fuel utilization.</w:t>
            </w:r>
          </w:p>
          <w:p w14:paraId="735A0EFF" w14:textId="77777777" w:rsidR="00714E88" w:rsidRDefault="00000000" w:rsidP="00B1418D">
            <w:pPr>
              <w:pStyle w:val="TSP42tablebody"/>
              <w:numPr>
                <w:ilvl w:val="1"/>
                <w:numId w:val="39"/>
              </w:numPr>
              <w:jc w:val="both"/>
              <w:rPr>
                <w:sz w:val="18"/>
                <w:szCs w:val="18"/>
              </w:rPr>
            </w:pPr>
            <w:r>
              <w:rPr>
                <w:b/>
                <w:bCs/>
                <w:sz w:val="18"/>
                <w:szCs w:val="18"/>
              </w:rPr>
              <w:t>Speed &gt; 0.43</w:t>
            </w:r>
            <w:r>
              <w:rPr>
                <w:sz w:val="18"/>
                <w:szCs w:val="18"/>
              </w:rPr>
              <w:t xml:space="preserve"> and </w:t>
            </w:r>
            <w:r>
              <w:rPr>
                <w:b/>
                <w:bCs/>
                <w:sz w:val="18"/>
                <w:szCs w:val="18"/>
              </w:rPr>
              <w:t>Power &gt; 0.12</w:t>
            </w:r>
            <w:r>
              <w:rPr>
                <w:sz w:val="18"/>
                <w:szCs w:val="18"/>
              </w:rPr>
              <w:t xml:space="preserve"> contributed smaller but positive weights (</w:t>
            </w:r>
            <w:r>
              <w:rPr>
                <w:b/>
                <w:bCs/>
                <w:sz w:val="18"/>
                <w:szCs w:val="18"/>
              </w:rPr>
              <w:t>+0.03 and +0.02</w:t>
            </w:r>
            <w:r>
              <w:rPr>
                <w:sz w:val="18"/>
                <w:szCs w:val="18"/>
              </w:rPr>
              <w:t>).</w:t>
            </w:r>
          </w:p>
          <w:p w14:paraId="60FE52D5" w14:textId="77777777" w:rsidR="00714E88" w:rsidRDefault="00000000" w:rsidP="00B1418D">
            <w:pPr>
              <w:pStyle w:val="TSP42tablebody"/>
              <w:numPr>
                <w:ilvl w:val="0"/>
                <w:numId w:val="39"/>
              </w:numPr>
              <w:jc w:val="both"/>
              <w:rPr>
                <w:sz w:val="18"/>
                <w:szCs w:val="18"/>
              </w:rPr>
            </w:pPr>
            <w:r>
              <w:rPr>
                <w:b/>
                <w:bCs/>
                <w:sz w:val="18"/>
                <w:szCs w:val="18"/>
              </w:rPr>
              <w:t>Negative contributions (opposing Low Voltage):</w:t>
            </w:r>
          </w:p>
          <w:p w14:paraId="17BC9B82" w14:textId="77777777" w:rsidR="00714E88" w:rsidRDefault="00000000" w:rsidP="00B1418D">
            <w:pPr>
              <w:pStyle w:val="TSP42tablebody"/>
              <w:numPr>
                <w:ilvl w:val="1"/>
                <w:numId w:val="39"/>
              </w:numPr>
              <w:jc w:val="both"/>
              <w:rPr>
                <w:sz w:val="18"/>
                <w:szCs w:val="18"/>
              </w:rPr>
            </w:pPr>
            <w:r>
              <w:rPr>
                <w:b/>
                <w:bCs/>
                <w:sz w:val="18"/>
                <w:szCs w:val="18"/>
              </w:rPr>
              <w:t>Consumption L/100KM &gt; 0.32</w:t>
            </w:r>
            <w:r>
              <w:rPr>
                <w:sz w:val="18"/>
                <w:szCs w:val="18"/>
              </w:rPr>
              <w:t xml:space="preserve"> provided the largest negative weight (</w:t>
            </w:r>
            <w:r>
              <w:rPr>
                <w:b/>
                <w:bCs/>
                <w:sz w:val="18"/>
                <w:szCs w:val="18"/>
              </w:rPr>
              <w:t>–0.17</w:t>
            </w:r>
            <w:r>
              <w:rPr>
                <w:sz w:val="18"/>
                <w:szCs w:val="18"/>
              </w:rPr>
              <w:t>), as high distance-normalized fuel consumption is more indicative of mixture or efficiency faults than of ignition-related voltage loss.</w:t>
            </w:r>
          </w:p>
          <w:p w14:paraId="39A693CF" w14:textId="77777777" w:rsidR="00714E88" w:rsidRDefault="00000000" w:rsidP="00B1418D">
            <w:pPr>
              <w:pStyle w:val="TSP42tablebody"/>
              <w:numPr>
                <w:ilvl w:val="1"/>
                <w:numId w:val="39"/>
              </w:numPr>
              <w:jc w:val="both"/>
              <w:rPr>
                <w:sz w:val="18"/>
                <w:szCs w:val="18"/>
              </w:rPr>
            </w:pPr>
            <w:r>
              <w:rPr>
                <w:b/>
                <w:bCs/>
                <w:sz w:val="18"/>
                <w:szCs w:val="18"/>
              </w:rPr>
              <w:t>CO₂ &gt; 0.77</w:t>
            </w:r>
            <w:r>
              <w:rPr>
                <w:sz w:val="18"/>
                <w:szCs w:val="18"/>
              </w:rPr>
              <w:t xml:space="preserve"> also opposed the classification (</w:t>
            </w:r>
            <w:r>
              <w:rPr>
                <w:b/>
                <w:bCs/>
                <w:sz w:val="18"/>
                <w:szCs w:val="18"/>
              </w:rPr>
              <w:t>–0.07</w:t>
            </w:r>
            <w:r>
              <w:rPr>
                <w:sz w:val="18"/>
                <w:szCs w:val="18"/>
              </w:rPr>
              <w:t>), since elevated CO₂ generally signals more complete combustion rather than ignition weakness.</w:t>
            </w:r>
          </w:p>
          <w:p w14:paraId="46812DE9" w14:textId="77777777" w:rsidR="00714E88" w:rsidRDefault="00000000" w:rsidP="00B1418D">
            <w:pPr>
              <w:pStyle w:val="TSP42tablebody"/>
              <w:numPr>
                <w:ilvl w:val="1"/>
                <w:numId w:val="39"/>
              </w:numPr>
              <w:jc w:val="both"/>
              <w:rPr>
                <w:sz w:val="18"/>
                <w:szCs w:val="18"/>
              </w:rPr>
            </w:pPr>
            <w:r>
              <w:rPr>
                <w:b/>
                <w:bCs/>
                <w:sz w:val="18"/>
                <w:szCs w:val="18"/>
              </w:rPr>
              <w:t>RPM &gt; 0.43</w:t>
            </w:r>
            <w:r>
              <w:rPr>
                <w:sz w:val="18"/>
                <w:szCs w:val="18"/>
              </w:rPr>
              <w:t xml:space="preserve"> (</w:t>
            </w:r>
            <w:r>
              <w:rPr>
                <w:b/>
                <w:bCs/>
                <w:sz w:val="18"/>
                <w:szCs w:val="18"/>
              </w:rPr>
              <w:t>–0.03</w:t>
            </w:r>
            <w:r>
              <w:rPr>
                <w:sz w:val="18"/>
                <w:szCs w:val="18"/>
              </w:rPr>
              <w:t xml:space="preserve">) and </w:t>
            </w:r>
            <w:r>
              <w:rPr>
                <w:b/>
                <w:bCs/>
                <w:sz w:val="18"/>
                <w:szCs w:val="18"/>
              </w:rPr>
              <w:t>Force &gt; 0.17</w:t>
            </w:r>
            <w:r>
              <w:rPr>
                <w:sz w:val="18"/>
                <w:szCs w:val="18"/>
              </w:rPr>
              <w:t xml:space="preserve"> (</w:t>
            </w:r>
            <w:r>
              <w:rPr>
                <w:b/>
                <w:bCs/>
                <w:sz w:val="18"/>
                <w:szCs w:val="18"/>
              </w:rPr>
              <w:t>–0.02</w:t>
            </w:r>
            <w:r>
              <w:rPr>
                <w:sz w:val="18"/>
                <w:szCs w:val="18"/>
              </w:rPr>
              <w:t>) added modest negative contributions, indicating that higher-than-expected engine load and revolutions conflicted with a typical low-voltage fault profile.</w:t>
            </w:r>
          </w:p>
          <w:p w14:paraId="64CB28F2" w14:textId="77777777" w:rsidR="00714E88" w:rsidRDefault="00000000">
            <w:pPr>
              <w:pStyle w:val="TSP42tablebody"/>
              <w:jc w:val="both"/>
              <w:rPr>
                <w:b/>
                <w:bCs/>
                <w:sz w:val="18"/>
                <w:szCs w:val="18"/>
              </w:rPr>
            </w:pPr>
            <w:r>
              <w:rPr>
                <w:b/>
                <w:bCs/>
                <w:sz w:val="18"/>
                <w:szCs w:val="18"/>
              </w:rPr>
              <w:t>2. Feature Prioritization</w:t>
            </w:r>
          </w:p>
          <w:p w14:paraId="60EEBBEE" w14:textId="77777777" w:rsidR="00714E88" w:rsidRDefault="00000000" w:rsidP="00B1418D">
            <w:pPr>
              <w:pStyle w:val="TSP42tablebody"/>
              <w:numPr>
                <w:ilvl w:val="0"/>
                <w:numId w:val="39"/>
              </w:numPr>
              <w:jc w:val="both"/>
              <w:rPr>
                <w:sz w:val="18"/>
                <w:szCs w:val="18"/>
              </w:rPr>
            </w:pPr>
            <w:r>
              <w:rPr>
                <w:sz w:val="18"/>
                <w:szCs w:val="18"/>
              </w:rPr>
              <w:t xml:space="preserve">The model prioritized </w:t>
            </w:r>
            <w:r>
              <w:rPr>
                <w:b/>
                <w:bCs/>
                <w:sz w:val="18"/>
                <w:szCs w:val="18"/>
              </w:rPr>
              <w:t>oxygen concentration (O₂)</w:t>
            </w:r>
            <w:r>
              <w:rPr>
                <w:sz w:val="18"/>
                <w:szCs w:val="18"/>
              </w:rPr>
              <w:t xml:space="preserve"> and </w:t>
            </w:r>
            <w:r>
              <w:rPr>
                <w:b/>
                <w:bCs/>
                <w:sz w:val="18"/>
                <w:szCs w:val="18"/>
              </w:rPr>
              <w:t>CO emissions</w:t>
            </w:r>
            <w:r>
              <w:rPr>
                <w:sz w:val="18"/>
                <w:szCs w:val="18"/>
              </w:rPr>
              <w:t xml:space="preserve"> as the primary local indicators for diagnosing Low Voltage. These two features combined explained a significant portion of the positive evidence. The next tier of support came from </w:t>
            </w:r>
            <w:r>
              <w:rPr>
                <w:b/>
                <w:bCs/>
                <w:sz w:val="18"/>
                <w:szCs w:val="18"/>
              </w:rPr>
              <w:t>HC</w:t>
            </w:r>
            <w:r>
              <w:rPr>
                <w:sz w:val="18"/>
                <w:szCs w:val="18"/>
              </w:rPr>
              <w:t xml:space="preserve"> and </w:t>
            </w:r>
            <w:r>
              <w:rPr>
                <w:b/>
                <w:bCs/>
                <w:sz w:val="18"/>
                <w:szCs w:val="18"/>
              </w:rPr>
              <w:t>fuel consumption per hour (L/H)</w:t>
            </w:r>
            <w:r>
              <w:rPr>
                <w:sz w:val="18"/>
                <w:szCs w:val="18"/>
              </w:rPr>
              <w:t>, reflecting incomplete combustion patterns expected under ignition-related malfunction.</w:t>
            </w:r>
          </w:p>
          <w:p w14:paraId="41AC8881" w14:textId="77777777" w:rsidR="00714E88" w:rsidRDefault="00000000" w:rsidP="00B1418D">
            <w:pPr>
              <w:pStyle w:val="TSP42tablebody"/>
              <w:numPr>
                <w:ilvl w:val="0"/>
                <w:numId w:val="39"/>
              </w:numPr>
              <w:jc w:val="both"/>
              <w:rPr>
                <w:sz w:val="18"/>
                <w:szCs w:val="18"/>
              </w:rPr>
            </w:pPr>
            <w:r>
              <w:rPr>
                <w:sz w:val="18"/>
                <w:szCs w:val="18"/>
              </w:rPr>
              <w:t xml:space="preserve">Conversely, </w:t>
            </w:r>
            <w:r>
              <w:rPr>
                <w:b/>
                <w:bCs/>
                <w:sz w:val="18"/>
                <w:szCs w:val="18"/>
              </w:rPr>
              <w:t>fuel efficiency per distance (L/100KM)</w:t>
            </w:r>
            <w:r>
              <w:rPr>
                <w:sz w:val="18"/>
                <w:szCs w:val="18"/>
              </w:rPr>
              <w:t xml:space="preserve"> and </w:t>
            </w:r>
            <w:r>
              <w:rPr>
                <w:b/>
                <w:bCs/>
                <w:sz w:val="18"/>
                <w:szCs w:val="18"/>
              </w:rPr>
              <w:t>CO₂ levels</w:t>
            </w:r>
            <w:r>
              <w:rPr>
                <w:sz w:val="18"/>
                <w:szCs w:val="18"/>
              </w:rPr>
              <w:t xml:space="preserve"> were heavily weighted against the prediction, but their negative contributions were insufficient to counteract the dominant oxygen- and CO-based evidence. This suggests that in this instance, the classifier trusted </w:t>
            </w:r>
            <w:r>
              <w:rPr>
                <w:b/>
                <w:bCs/>
                <w:sz w:val="18"/>
                <w:szCs w:val="18"/>
              </w:rPr>
              <w:t>emission chemistry signals</w:t>
            </w:r>
            <w:r>
              <w:rPr>
                <w:sz w:val="18"/>
                <w:szCs w:val="18"/>
              </w:rPr>
              <w:t xml:space="preserve"> more strongly than efficiency metrics when resolving the class decision.</w:t>
            </w:r>
          </w:p>
          <w:p w14:paraId="12FD9E0C" w14:textId="77777777" w:rsidR="00714E88" w:rsidRDefault="00000000">
            <w:pPr>
              <w:pStyle w:val="TSP42tablebody"/>
              <w:jc w:val="both"/>
              <w:rPr>
                <w:b/>
                <w:bCs/>
                <w:sz w:val="18"/>
                <w:szCs w:val="18"/>
              </w:rPr>
            </w:pPr>
            <w:r>
              <w:rPr>
                <w:b/>
                <w:bCs/>
                <w:sz w:val="18"/>
                <w:szCs w:val="18"/>
              </w:rPr>
              <w:t>3. Low-Impact Features</w:t>
            </w:r>
          </w:p>
          <w:p w14:paraId="26A4FC64" w14:textId="77777777" w:rsidR="00714E88" w:rsidRDefault="00000000" w:rsidP="00B1418D">
            <w:pPr>
              <w:pStyle w:val="TSP42tablebody"/>
              <w:numPr>
                <w:ilvl w:val="0"/>
                <w:numId w:val="39"/>
              </w:numPr>
              <w:jc w:val="both"/>
              <w:rPr>
                <w:sz w:val="18"/>
                <w:szCs w:val="18"/>
              </w:rPr>
            </w:pPr>
            <w:r>
              <w:rPr>
                <w:sz w:val="18"/>
                <w:szCs w:val="18"/>
              </w:rPr>
              <w:t xml:space="preserve">Features such as </w:t>
            </w:r>
            <w:r>
              <w:rPr>
                <w:b/>
                <w:bCs/>
                <w:sz w:val="18"/>
                <w:szCs w:val="18"/>
              </w:rPr>
              <w:t>Force (–0.02)</w:t>
            </w:r>
            <w:r>
              <w:rPr>
                <w:sz w:val="18"/>
                <w:szCs w:val="18"/>
              </w:rPr>
              <w:t xml:space="preserve"> and </w:t>
            </w:r>
            <w:r>
              <w:rPr>
                <w:b/>
                <w:bCs/>
                <w:sz w:val="18"/>
                <w:szCs w:val="18"/>
              </w:rPr>
              <w:t>Power (+0.02)</w:t>
            </w:r>
            <w:r>
              <w:rPr>
                <w:sz w:val="18"/>
                <w:szCs w:val="18"/>
              </w:rPr>
              <w:t xml:space="preserve"> exerted near-zero contributions. Their minimal influence likely arises because, while these values slightly deviated from normal, they did not represent distinctive indicators of either ignition-related faults or alternative failure modes in this instance. Their weak discriminative role highlights the dominance of exhaust-related features in shaping the decision.</w:t>
            </w:r>
          </w:p>
          <w:p w14:paraId="22734D7D" w14:textId="77777777" w:rsidR="00714E88" w:rsidRDefault="00000000">
            <w:pPr>
              <w:pStyle w:val="TSP42tablebody"/>
              <w:jc w:val="both"/>
              <w:rPr>
                <w:b/>
                <w:bCs/>
                <w:sz w:val="18"/>
                <w:szCs w:val="18"/>
              </w:rPr>
            </w:pPr>
            <w:r>
              <w:rPr>
                <w:b/>
                <w:bCs/>
                <w:sz w:val="18"/>
                <w:szCs w:val="18"/>
              </w:rPr>
              <w:t>4. Decision Logic</w:t>
            </w:r>
          </w:p>
          <w:p w14:paraId="3C7080FD" w14:textId="77777777" w:rsidR="00714E88" w:rsidRDefault="00000000" w:rsidP="00B1418D">
            <w:pPr>
              <w:pStyle w:val="TSP42tablebody"/>
              <w:numPr>
                <w:ilvl w:val="0"/>
                <w:numId w:val="39"/>
              </w:numPr>
              <w:jc w:val="both"/>
              <w:rPr>
                <w:sz w:val="18"/>
                <w:szCs w:val="18"/>
              </w:rPr>
            </w:pPr>
            <w:r>
              <w:rPr>
                <w:sz w:val="18"/>
                <w:szCs w:val="18"/>
              </w:rPr>
              <w:t>The model’s local decision-making can be summarized as follows:</w:t>
            </w:r>
          </w:p>
          <w:p w14:paraId="431135D0" w14:textId="77777777" w:rsidR="00714E88" w:rsidRDefault="00000000" w:rsidP="00B1418D">
            <w:pPr>
              <w:pStyle w:val="TSP42tablebody"/>
              <w:numPr>
                <w:ilvl w:val="0"/>
                <w:numId w:val="40"/>
              </w:numPr>
              <w:jc w:val="both"/>
              <w:rPr>
                <w:sz w:val="18"/>
                <w:szCs w:val="18"/>
              </w:rPr>
            </w:pPr>
            <w:r>
              <w:rPr>
                <w:b/>
                <w:bCs/>
                <w:sz w:val="18"/>
                <w:szCs w:val="18"/>
              </w:rPr>
              <w:lastRenderedPageBreak/>
              <w:t>Primary drivers</w:t>
            </w:r>
            <w:r>
              <w:rPr>
                <w:sz w:val="18"/>
                <w:szCs w:val="18"/>
              </w:rPr>
              <w:t xml:space="preserve"> – Low oxygen levels and bounded CO values were interpreted as clear markers of weak combustion, directly supporting a </w:t>
            </w:r>
            <w:r>
              <w:rPr>
                <w:i/>
                <w:iCs/>
                <w:sz w:val="18"/>
                <w:szCs w:val="18"/>
              </w:rPr>
              <w:t>Low Voltage</w:t>
            </w:r>
            <w:r>
              <w:rPr>
                <w:sz w:val="18"/>
                <w:szCs w:val="18"/>
              </w:rPr>
              <w:t xml:space="preserve"> classification.</w:t>
            </w:r>
          </w:p>
          <w:p w14:paraId="064A467B" w14:textId="77777777" w:rsidR="00714E88" w:rsidRDefault="00000000" w:rsidP="00B1418D">
            <w:pPr>
              <w:pStyle w:val="TSP42tablebody"/>
              <w:numPr>
                <w:ilvl w:val="0"/>
                <w:numId w:val="40"/>
              </w:numPr>
              <w:jc w:val="both"/>
              <w:rPr>
                <w:sz w:val="18"/>
                <w:szCs w:val="18"/>
              </w:rPr>
            </w:pPr>
            <w:r>
              <w:rPr>
                <w:b/>
                <w:bCs/>
                <w:sz w:val="18"/>
                <w:szCs w:val="18"/>
              </w:rPr>
              <w:t>Secondary reinforcements</w:t>
            </w:r>
            <w:r>
              <w:rPr>
                <w:sz w:val="18"/>
                <w:szCs w:val="18"/>
              </w:rPr>
              <w:t xml:space="preserve"> – Relatively low HC emissions and elevated hourly fuel consumption aligned with inefficient combustion patterns under ignition faults, adding confidence to the classification.</w:t>
            </w:r>
          </w:p>
          <w:p w14:paraId="6A7E8EF5" w14:textId="77777777" w:rsidR="00714E88" w:rsidRDefault="00000000" w:rsidP="00B1418D">
            <w:pPr>
              <w:pStyle w:val="TSP42tablebody"/>
              <w:numPr>
                <w:ilvl w:val="0"/>
                <w:numId w:val="40"/>
              </w:numPr>
              <w:jc w:val="both"/>
              <w:rPr>
                <w:sz w:val="18"/>
                <w:szCs w:val="18"/>
              </w:rPr>
            </w:pPr>
            <w:r>
              <w:rPr>
                <w:b/>
                <w:bCs/>
                <w:sz w:val="18"/>
                <w:szCs w:val="18"/>
              </w:rPr>
              <w:t>Counteracting evidence</w:t>
            </w:r>
            <w:r>
              <w:rPr>
                <w:sz w:val="18"/>
                <w:szCs w:val="18"/>
              </w:rPr>
              <w:t xml:space="preserve"> – High distance-based fuel consumption and elevated CO₂ levels suggested efficient yet fuel-heavy combustion, which typically contradicts low-voltage malfunction. However, their negative impact was overridden by the stronger O₂- and CO-driven signals.</w:t>
            </w:r>
          </w:p>
          <w:p w14:paraId="143F48A3" w14:textId="77777777" w:rsidR="00714E88" w:rsidRDefault="00000000" w:rsidP="00B1418D">
            <w:pPr>
              <w:pStyle w:val="TSP42tablebody"/>
              <w:numPr>
                <w:ilvl w:val="0"/>
                <w:numId w:val="40"/>
              </w:numPr>
              <w:jc w:val="both"/>
              <w:rPr>
                <w:sz w:val="18"/>
                <w:szCs w:val="18"/>
              </w:rPr>
            </w:pPr>
            <w:r>
              <w:rPr>
                <w:b/>
                <w:bCs/>
                <w:sz w:val="18"/>
                <w:szCs w:val="18"/>
              </w:rPr>
              <w:t>Final resolution</w:t>
            </w:r>
            <w:r>
              <w:rPr>
                <w:sz w:val="18"/>
                <w:szCs w:val="18"/>
              </w:rPr>
              <w:t xml:space="preserve"> – The combination of dominant exhaust gas cues and supportive, though weaker, efficiency patterns outweighed conflicting evidence, leading the classifier to confidently assign this instance to the </w:t>
            </w:r>
            <w:r>
              <w:rPr>
                <w:b/>
                <w:bCs/>
                <w:sz w:val="18"/>
                <w:szCs w:val="18"/>
              </w:rPr>
              <w:t>Low Voltage</w:t>
            </w:r>
            <w:r>
              <w:rPr>
                <w:sz w:val="18"/>
                <w:szCs w:val="18"/>
              </w:rPr>
              <w:t xml:space="preserve"> category (probability 0.85).</w:t>
            </w:r>
          </w:p>
          <w:p w14:paraId="5AD263D0" w14:textId="77777777" w:rsidR="00714E88" w:rsidRDefault="00000000">
            <w:pPr>
              <w:pStyle w:val="TSP42tablebody"/>
              <w:jc w:val="both"/>
              <w:rPr>
                <w:b/>
                <w:bCs/>
                <w:sz w:val="18"/>
                <w:szCs w:val="18"/>
              </w:rPr>
            </w:pPr>
            <w:r>
              <w:rPr>
                <w:b/>
                <w:bCs/>
                <w:sz w:val="18"/>
                <w:szCs w:val="18"/>
              </w:rPr>
              <w:t>Conclusion</w:t>
            </w:r>
          </w:p>
          <w:p w14:paraId="544C1128" w14:textId="77777777" w:rsidR="00714E88" w:rsidRDefault="00000000" w:rsidP="00B1418D">
            <w:pPr>
              <w:pStyle w:val="TSP42tablebody"/>
              <w:numPr>
                <w:ilvl w:val="0"/>
                <w:numId w:val="39"/>
              </w:numPr>
              <w:jc w:val="both"/>
              <w:rPr>
                <w:sz w:val="18"/>
                <w:szCs w:val="18"/>
              </w:rPr>
            </w:pPr>
            <w:r>
              <w:rPr>
                <w:sz w:val="18"/>
                <w:szCs w:val="18"/>
              </w:rPr>
              <w:t xml:space="preserve">The LIME explanation reveals that the classifier’s prediction of </w:t>
            </w:r>
            <w:r>
              <w:rPr>
                <w:i/>
                <w:iCs/>
                <w:sz w:val="18"/>
                <w:szCs w:val="18"/>
              </w:rPr>
              <w:t>Low Voltage</w:t>
            </w:r>
            <w:r>
              <w:rPr>
                <w:sz w:val="18"/>
                <w:szCs w:val="18"/>
              </w:rPr>
              <w:t xml:space="preserve"> was guided primarily by </w:t>
            </w:r>
            <w:r>
              <w:rPr>
                <w:b/>
                <w:bCs/>
                <w:sz w:val="18"/>
                <w:szCs w:val="18"/>
              </w:rPr>
              <w:t>oxygen deficiency and bounded CO emissions</w:t>
            </w:r>
            <w:r>
              <w:rPr>
                <w:sz w:val="18"/>
                <w:szCs w:val="18"/>
              </w:rPr>
              <w:t xml:space="preserve">, reinforced by </w:t>
            </w:r>
            <w:r>
              <w:rPr>
                <w:b/>
                <w:bCs/>
                <w:sz w:val="18"/>
                <w:szCs w:val="18"/>
              </w:rPr>
              <w:t>fuel consumption per hour and hydrocarbon levels</w:t>
            </w:r>
            <w:r>
              <w:rPr>
                <w:sz w:val="18"/>
                <w:szCs w:val="18"/>
              </w:rPr>
              <w:t xml:space="preserve">. Despite counter-signals from fuel consumption per distance and CO₂ output, the exhaust chemistry features dominated the decision. This indicates that the model strongly associates </w:t>
            </w:r>
            <w:r>
              <w:rPr>
                <w:b/>
                <w:bCs/>
                <w:sz w:val="18"/>
                <w:szCs w:val="18"/>
              </w:rPr>
              <w:t>abnormal oxygen and CO patterns with ignition-related voltage faults</w:t>
            </w:r>
            <w:r>
              <w:rPr>
                <w:sz w:val="18"/>
                <w:szCs w:val="18"/>
              </w:rPr>
              <w:t>, making them the decisive local cues in this instance.</w:t>
            </w:r>
          </w:p>
        </w:tc>
      </w:tr>
    </w:tbl>
    <w:p w14:paraId="44DF5875" w14:textId="77777777" w:rsidR="00714E88" w:rsidRDefault="00000000">
      <w:pPr>
        <w:pStyle w:val="a"/>
        <w:spacing w:before="240" w:line="276" w:lineRule="auto"/>
        <w:rPr>
          <w:rFonts w:ascii="Times New Roman" w:eastAsiaTheme="majorHAnsi" w:hAnsi="Times New Roman" w:cs="Times New Roman"/>
        </w:rPr>
      </w:pPr>
      <w:r>
        <w:rPr>
          <w:rFonts w:ascii="Times New Roman" w:eastAsiaTheme="majorHAnsi" w:hAnsi="Times New Roman" w:cs="Times New Roman"/>
          <w:noProof/>
        </w:rPr>
        <w:lastRenderedPageBreak/>
        <w:drawing>
          <wp:inline distT="0" distB="0" distL="0" distR="0" wp14:anchorId="481D45D4" wp14:editId="260CC463">
            <wp:extent cx="5731510" cy="4380230"/>
            <wp:effectExtent l="0" t="0" r="2540" b="1270"/>
            <wp:docPr id="1227872111" name="그림 10" descr="텍스트, 스크린샷, 폰트, 번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872111" name="그림 10" descr="텍스트, 스크린샷, 폰트, 번호이(가) 표시된 사진&#10;&#10;AI 생성 콘텐츠는 정확하지 않을 수 있습니다."/>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731510" cy="4380230"/>
                    </a:xfrm>
                    <a:prstGeom prst="rect">
                      <a:avLst/>
                    </a:prstGeom>
                    <a:noFill/>
                    <a:ln>
                      <a:noFill/>
                    </a:ln>
                  </pic:spPr>
                </pic:pic>
              </a:graphicData>
            </a:graphic>
          </wp:inline>
        </w:drawing>
      </w:r>
    </w:p>
    <w:p w14:paraId="475169C7" w14:textId="77777777" w:rsidR="00714E88" w:rsidRDefault="00000000">
      <w:pPr>
        <w:pStyle w:val="TSP52figure"/>
        <w:rPr>
          <w:rFonts w:eastAsia="Malgun Gothic"/>
          <w:lang w:eastAsia="ko-KR"/>
        </w:rPr>
      </w:pPr>
      <w:r>
        <w:rPr>
          <w:b/>
        </w:rPr>
        <w:t xml:space="preserve">Figure </w:t>
      </w:r>
      <w:r>
        <w:rPr>
          <w:rFonts w:eastAsiaTheme="minorEastAsia" w:hint="eastAsia"/>
          <w:b/>
          <w:lang w:eastAsia="ko-KR"/>
        </w:rPr>
        <w:t>S</w:t>
      </w:r>
      <w:r>
        <w:rPr>
          <w:rFonts w:eastAsia="Malgun Gothic" w:hint="eastAsia"/>
          <w:b/>
          <w:lang w:eastAsia="ko-KR"/>
        </w:rPr>
        <w:t>6</w:t>
      </w:r>
      <w:r>
        <w:rPr>
          <w:b/>
        </w:rPr>
        <w:t xml:space="preserve">: </w:t>
      </w:r>
      <w:r>
        <w:rPr>
          <w:rFonts w:eastAsia="Malgun Gothic" w:hint="eastAsia"/>
          <w:lang w:eastAsia="ko-KR"/>
        </w:rPr>
        <w:t xml:space="preserve">SHAP plot of proposed method </w:t>
      </w:r>
      <w:r>
        <w:rPr>
          <w:rFonts w:eastAsia="Malgun Gothic"/>
          <w:lang w:eastAsia="ko-KR"/>
        </w:rPr>
        <w:t>–</w:t>
      </w:r>
      <w:r>
        <w:rPr>
          <w:rFonts w:eastAsia="Malgun Gothic" w:hint="eastAsia"/>
          <w:lang w:eastAsia="ko-KR"/>
        </w:rPr>
        <w:t xml:space="preserve"> classified as Low Voltage</w:t>
      </w:r>
    </w:p>
    <w:p w14:paraId="1953D901" w14:textId="77777777" w:rsidR="00714E88" w:rsidRDefault="00000000">
      <w:pPr>
        <w:pStyle w:val="TSP41tablecaption"/>
        <w:jc w:val="center"/>
      </w:pPr>
      <w:r>
        <w:rPr>
          <w:b/>
        </w:rPr>
        <w:t xml:space="preserve">Table </w:t>
      </w:r>
      <w:r>
        <w:rPr>
          <w:rFonts w:eastAsia="Malgun Gothic" w:hint="eastAsia"/>
          <w:b/>
          <w:lang w:eastAsia="ko-KR"/>
        </w:rPr>
        <w:t>S8</w:t>
      </w:r>
      <w:r>
        <w:rPr>
          <w:b/>
        </w:rPr>
        <w:t xml:space="preserve">: </w:t>
      </w:r>
      <w:r>
        <w:rPr>
          <w:rFonts w:eastAsia="Malgun Gothic" w:hint="eastAsia"/>
          <w:lang w:eastAsia="ko-KR"/>
        </w:rPr>
        <w:t>Interpretation of SHAP analysis</w:t>
      </w:r>
      <w:r>
        <w:rPr>
          <w:rFonts w:eastAsia="Malgun Gothic"/>
          <w:lang w:eastAsia="ko-KR"/>
        </w:rPr>
        <w:t xml:space="preserve"> using the </w:t>
      </w:r>
      <w:r>
        <w:rPr>
          <w:rFonts w:eastAsia="Malgun Gothic" w:hint="eastAsia"/>
          <w:lang w:eastAsia="ko-KR"/>
        </w:rPr>
        <w:t>V</w:t>
      </w:r>
      <w:r>
        <w:rPr>
          <w:rFonts w:eastAsia="Malgun Gothic"/>
          <w:lang w:eastAsia="ko-KR"/>
        </w:rPr>
        <w:t>LM</w:t>
      </w:r>
      <w:r>
        <w:rPr>
          <w:rFonts w:eastAsia="Malgun Gothic" w:hint="eastAsia"/>
          <w:lang w:eastAsia="ko-KR"/>
        </w:rPr>
        <w:t xml:space="preserve"> </w:t>
      </w:r>
      <w:r>
        <w:rPr>
          <w:rFonts w:eastAsia="Malgun Gothic"/>
          <w:lang w:eastAsia="ko-KR"/>
        </w:rPr>
        <w:t>–</w:t>
      </w:r>
      <w:r>
        <w:rPr>
          <w:rFonts w:eastAsia="Malgun Gothic" w:hint="eastAsia"/>
          <w:lang w:eastAsia="ko-KR"/>
        </w:rPr>
        <w:t xml:space="preserve"> corresponding to Figure S6</w:t>
      </w:r>
    </w:p>
    <w:tbl>
      <w:tblPr>
        <w:tblW w:w="9361" w:type="dxa"/>
        <w:jc w:val="center"/>
        <w:tblBorders>
          <w:top w:val="single" w:sz="4" w:space="0" w:color="auto"/>
          <w:bottom w:val="single" w:sz="4" w:space="0" w:color="auto"/>
        </w:tblBorders>
        <w:tblLayout w:type="fixed"/>
        <w:tblCellMar>
          <w:left w:w="0" w:type="dxa"/>
          <w:right w:w="0" w:type="dxa"/>
        </w:tblCellMar>
        <w:tblLook w:val="04A0" w:firstRow="1" w:lastRow="0" w:firstColumn="1" w:lastColumn="0" w:noHBand="0" w:noVBand="1"/>
      </w:tblPr>
      <w:tblGrid>
        <w:gridCol w:w="9361"/>
      </w:tblGrid>
      <w:tr w:rsidR="00714E88" w14:paraId="07494918" w14:textId="77777777">
        <w:trPr>
          <w:trHeight w:val="231"/>
          <w:jc w:val="center"/>
        </w:trPr>
        <w:tc>
          <w:tcPr>
            <w:tcW w:w="9361" w:type="dxa"/>
            <w:tcBorders>
              <w:top w:val="single" w:sz="4" w:space="0" w:color="auto"/>
              <w:bottom w:val="single" w:sz="4" w:space="0" w:color="auto"/>
            </w:tcBorders>
            <w:vAlign w:val="center"/>
          </w:tcPr>
          <w:p w14:paraId="40B8A972" w14:textId="77777777" w:rsidR="00714E88" w:rsidRDefault="00000000">
            <w:pPr>
              <w:pStyle w:val="TSP42tablebody"/>
              <w:rPr>
                <w:rFonts w:eastAsia="Malgun Gothic"/>
                <w:b/>
                <w:bCs/>
                <w:sz w:val="18"/>
                <w:szCs w:val="18"/>
                <w:lang w:eastAsia="ko-KR"/>
              </w:rPr>
            </w:pPr>
            <w:r>
              <w:rPr>
                <w:rFonts w:eastAsia="Malgun Gothic" w:hint="eastAsia"/>
                <w:b/>
                <w:bCs/>
                <w:sz w:val="18"/>
                <w:szCs w:val="18"/>
                <w:lang w:eastAsia="ko-KR"/>
              </w:rPr>
              <w:t>Result</w:t>
            </w:r>
          </w:p>
        </w:tc>
      </w:tr>
      <w:tr w:rsidR="00714E88" w14:paraId="546B612D" w14:textId="77777777">
        <w:trPr>
          <w:trHeight w:val="137"/>
          <w:jc w:val="center"/>
        </w:trPr>
        <w:tc>
          <w:tcPr>
            <w:tcW w:w="9361" w:type="dxa"/>
            <w:tcBorders>
              <w:top w:val="single" w:sz="4" w:space="0" w:color="auto"/>
              <w:bottom w:val="single" w:sz="4" w:space="0" w:color="auto"/>
            </w:tcBorders>
            <w:vAlign w:val="center"/>
          </w:tcPr>
          <w:p w14:paraId="2185C68F" w14:textId="77777777" w:rsidR="00714E88" w:rsidRDefault="00000000">
            <w:pPr>
              <w:pStyle w:val="TSP42tablebody"/>
              <w:jc w:val="both"/>
              <w:rPr>
                <w:b/>
                <w:bCs/>
                <w:sz w:val="18"/>
                <w:szCs w:val="18"/>
              </w:rPr>
            </w:pPr>
            <w:r>
              <w:rPr>
                <w:b/>
                <w:bCs/>
                <w:sz w:val="18"/>
                <w:szCs w:val="18"/>
              </w:rPr>
              <w:t xml:space="preserve">Local Explanation of SHAP Output for Instance Classified as </w:t>
            </w:r>
            <w:r>
              <w:rPr>
                <w:b/>
                <w:bCs/>
                <w:i/>
                <w:iCs/>
                <w:sz w:val="18"/>
                <w:szCs w:val="18"/>
              </w:rPr>
              <w:t>Low Voltage</w:t>
            </w:r>
          </w:p>
          <w:p w14:paraId="241F0F34" w14:textId="77777777" w:rsidR="00714E88" w:rsidRDefault="00000000">
            <w:pPr>
              <w:pStyle w:val="TSP42tablebody"/>
              <w:jc w:val="both"/>
              <w:rPr>
                <w:b/>
                <w:bCs/>
                <w:sz w:val="18"/>
                <w:szCs w:val="18"/>
              </w:rPr>
            </w:pPr>
            <w:r>
              <w:rPr>
                <w:b/>
                <w:bCs/>
                <w:sz w:val="18"/>
                <w:szCs w:val="18"/>
              </w:rPr>
              <w:t>1. Key Features</w:t>
            </w:r>
          </w:p>
          <w:p w14:paraId="5696FAA8" w14:textId="77777777" w:rsidR="00714E88" w:rsidRDefault="00000000" w:rsidP="00B1418D">
            <w:pPr>
              <w:pStyle w:val="TSP42tablebody"/>
              <w:numPr>
                <w:ilvl w:val="0"/>
                <w:numId w:val="41"/>
              </w:numPr>
              <w:jc w:val="both"/>
              <w:rPr>
                <w:sz w:val="18"/>
                <w:szCs w:val="18"/>
              </w:rPr>
            </w:pPr>
            <w:r>
              <w:rPr>
                <w:sz w:val="18"/>
                <w:szCs w:val="18"/>
              </w:rPr>
              <w:t xml:space="preserve">The SHAP analysis shows that the most influential variables driving the prediction toward the </w:t>
            </w:r>
            <w:r>
              <w:rPr>
                <w:b/>
                <w:bCs/>
                <w:sz w:val="18"/>
                <w:szCs w:val="18"/>
              </w:rPr>
              <w:t>Low Voltage</w:t>
            </w:r>
            <w:r>
              <w:rPr>
                <w:sz w:val="18"/>
                <w:szCs w:val="18"/>
              </w:rPr>
              <w:t xml:space="preserve"> class were related to exhaust gas composition and hydrocarbon indicators, supported by load-related parameters:</w:t>
            </w:r>
          </w:p>
          <w:p w14:paraId="791AE4C8" w14:textId="77777777" w:rsidR="00714E88" w:rsidRDefault="00000000" w:rsidP="00B1418D">
            <w:pPr>
              <w:pStyle w:val="TSP42tablebody"/>
              <w:numPr>
                <w:ilvl w:val="0"/>
                <w:numId w:val="41"/>
              </w:numPr>
              <w:jc w:val="both"/>
              <w:rPr>
                <w:sz w:val="18"/>
                <w:szCs w:val="18"/>
              </w:rPr>
            </w:pPr>
            <w:r>
              <w:rPr>
                <w:b/>
                <w:bCs/>
                <w:sz w:val="18"/>
                <w:szCs w:val="18"/>
              </w:rPr>
              <w:lastRenderedPageBreak/>
              <w:t>Positive contributions (supporting Low Voltage):</w:t>
            </w:r>
          </w:p>
          <w:p w14:paraId="17C7C020" w14:textId="77777777" w:rsidR="00714E88" w:rsidRDefault="00000000" w:rsidP="00B1418D">
            <w:pPr>
              <w:pStyle w:val="TSP42tablebody"/>
              <w:numPr>
                <w:ilvl w:val="1"/>
                <w:numId w:val="41"/>
              </w:numPr>
              <w:jc w:val="both"/>
              <w:rPr>
                <w:sz w:val="18"/>
                <w:szCs w:val="18"/>
              </w:rPr>
            </w:pPr>
            <w:r>
              <w:rPr>
                <w:b/>
                <w:bCs/>
                <w:sz w:val="18"/>
                <w:szCs w:val="18"/>
              </w:rPr>
              <w:t>O₂ (0.162)</w:t>
            </w:r>
            <w:r>
              <w:rPr>
                <w:sz w:val="18"/>
                <w:szCs w:val="18"/>
              </w:rPr>
              <w:t xml:space="preserve"> had the largest positive contribution (</w:t>
            </w:r>
            <w:r>
              <w:rPr>
                <w:b/>
                <w:bCs/>
                <w:sz w:val="18"/>
                <w:szCs w:val="18"/>
              </w:rPr>
              <w:t>+1.06</w:t>
            </w:r>
            <w:r>
              <w:rPr>
                <w:sz w:val="18"/>
                <w:szCs w:val="18"/>
              </w:rPr>
              <w:t>), suggesting an oxygen imbalance consistent with incomplete combustion due to ignition weakness.</w:t>
            </w:r>
          </w:p>
          <w:p w14:paraId="65223BA7" w14:textId="77777777" w:rsidR="00714E88" w:rsidRDefault="00000000" w:rsidP="00B1418D">
            <w:pPr>
              <w:pStyle w:val="TSP42tablebody"/>
              <w:numPr>
                <w:ilvl w:val="1"/>
                <w:numId w:val="41"/>
              </w:numPr>
              <w:jc w:val="both"/>
              <w:rPr>
                <w:sz w:val="18"/>
                <w:szCs w:val="18"/>
              </w:rPr>
            </w:pPr>
            <w:r>
              <w:rPr>
                <w:b/>
                <w:bCs/>
                <w:sz w:val="18"/>
                <w:szCs w:val="18"/>
              </w:rPr>
              <w:t>HC (0.144)</w:t>
            </w:r>
            <w:r>
              <w:rPr>
                <w:sz w:val="18"/>
                <w:szCs w:val="18"/>
              </w:rPr>
              <w:t xml:space="preserve"> contributed strongly (</w:t>
            </w:r>
            <w:r>
              <w:rPr>
                <w:b/>
                <w:bCs/>
                <w:sz w:val="18"/>
                <w:szCs w:val="18"/>
              </w:rPr>
              <w:t>+0.90</w:t>
            </w:r>
            <w:r>
              <w:rPr>
                <w:sz w:val="18"/>
                <w:szCs w:val="18"/>
              </w:rPr>
              <w:t>), reflecting elevated hydrocarbon emissions typical of unburned fuel under poor ignition conditions.</w:t>
            </w:r>
          </w:p>
          <w:p w14:paraId="6D576010" w14:textId="77777777" w:rsidR="00714E88" w:rsidRDefault="00000000" w:rsidP="00B1418D">
            <w:pPr>
              <w:pStyle w:val="TSP42tablebody"/>
              <w:numPr>
                <w:ilvl w:val="1"/>
                <w:numId w:val="41"/>
              </w:numPr>
              <w:jc w:val="both"/>
              <w:rPr>
                <w:sz w:val="18"/>
                <w:szCs w:val="18"/>
              </w:rPr>
            </w:pPr>
            <w:r>
              <w:rPr>
                <w:b/>
                <w:bCs/>
                <w:sz w:val="18"/>
                <w:szCs w:val="18"/>
              </w:rPr>
              <w:t>CO (0.030)</w:t>
            </w:r>
            <w:r>
              <w:rPr>
                <w:sz w:val="18"/>
                <w:szCs w:val="18"/>
              </w:rPr>
              <w:t xml:space="preserve"> provided additional support (</w:t>
            </w:r>
            <w:r>
              <w:rPr>
                <w:b/>
                <w:bCs/>
                <w:sz w:val="18"/>
                <w:szCs w:val="18"/>
              </w:rPr>
              <w:t>+0.39</w:t>
            </w:r>
            <w:r>
              <w:rPr>
                <w:sz w:val="18"/>
                <w:szCs w:val="18"/>
              </w:rPr>
              <w:t>), consistent with incomplete combustion by-products.</w:t>
            </w:r>
          </w:p>
          <w:p w14:paraId="4C0D4351" w14:textId="77777777" w:rsidR="00714E88" w:rsidRDefault="00000000" w:rsidP="00B1418D">
            <w:pPr>
              <w:pStyle w:val="TSP42tablebody"/>
              <w:numPr>
                <w:ilvl w:val="1"/>
                <w:numId w:val="41"/>
              </w:numPr>
              <w:jc w:val="both"/>
              <w:rPr>
                <w:sz w:val="18"/>
                <w:szCs w:val="18"/>
              </w:rPr>
            </w:pPr>
            <w:r>
              <w:rPr>
                <w:b/>
                <w:bCs/>
                <w:sz w:val="18"/>
                <w:szCs w:val="18"/>
              </w:rPr>
              <w:t>Power (0.62)</w:t>
            </w:r>
            <w:r>
              <w:rPr>
                <w:sz w:val="18"/>
                <w:szCs w:val="18"/>
              </w:rPr>
              <w:t xml:space="preserve"> contributed positively (</w:t>
            </w:r>
            <w:r>
              <w:rPr>
                <w:b/>
                <w:bCs/>
                <w:sz w:val="18"/>
                <w:szCs w:val="18"/>
              </w:rPr>
              <w:t>+0.16</w:t>
            </w:r>
            <w:r>
              <w:rPr>
                <w:sz w:val="18"/>
                <w:szCs w:val="18"/>
              </w:rPr>
              <w:t>), reinforcing the diagnosis under load conditions.</w:t>
            </w:r>
          </w:p>
          <w:p w14:paraId="33DC5DDB" w14:textId="77777777" w:rsidR="00714E88" w:rsidRDefault="00000000" w:rsidP="00B1418D">
            <w:pPr>
              <w:pStyle w:val="TSP42tablebody"/>
              <w:numPr>
                <w:ilvl w:val="1"/>
                <w:numId w:val="41"/>
              </w:numPr>
              <w:jc w:val="both"/>
              <w:rPr>
                <w:sz w:val="18"/>
                <w:szCs w:val="18"/>
              </w:rPr>
            </w:pPr>
            <w:r>
              <w:rPr>
                <w:b/>
                <w:bCs/>
                <w:sz w:val="18"/>
                <w:szCs w:val="18"/>
              </w:rPr>
              <w:t>Lambda (0.727)</w:t>
            </w:r>
            <w:r>
              <w:rPr>
                <w:sz w:val="18"/>
                <w:szCs w:val="18"/>
              </w:rPr>
              <w:t xml:space="preserve"> and </w:t>
            </w:r>
            <w:r>
              <w:rPr>
                <w:b/>
                <w:bCs/>
                <w:sz w:val="18"/>
                <w:szCs w:val="18"/>
              </w:rPr>
              <w:t>Speed (0.575)</w:t>
            </w:r>
            <w:r>
              <w:rPr>
                <w:sz w:val="18"/>
                <w:szCs w:val="18"/>
              </w:rPr>
              <w:t xml:space="preserve"> added smaller positive contributions (</w:t>
            </w:r>
            <w:r>
              <w:rPr>
                <w:b/>
                <w:bCs/>
                <w:sz w:val="18"/>
                <w:szCs w:val="18"/>
              </w:rPr>
              <w:t>+0.11 and +0.10</w:t>
            </w:r>
            <w:r>
              <w:rPr>
                <w:sz w:val="18"/>
                <w:szCs w:val="18"/>
              </w:rPr>
              <w:t>, respectively).</w:t>
            </w:r>
          </w:p>
          <w:p w14:paraId="280975D3" w14:textId="77777777" w:rsidR="00714E88" w:rsidRDefault="00000000" w:rsidP="00B1418D">
            <w:pPr>
              <w:pStyle w:val="TSP42tablebody"/>
              <w:numPr>
                <w:ilvl w:val="1"/>
                <w:numId w:val="41"/>
              </w:numPr>
              <w:jc w:val="both"/>
              <w:rPr>
                <w:sz w:val="18"/>
                <w:szCs w:val="18"/>
              </w:rPr>
            </w:pPr>
            <w:r>
              <w:rPr>
                <w:sz w:val="18"/>
                <w:szCs w:val="18"/>
              </w:rPr>
              <w:t xml:space="preserve">Minor reinforcements came from </w:t>
            </w:r>
            <w:r>
              <w:rPr>
                <w:b/>
                <w:bCs/>
                <w:sz w:val="18"/>
                <w:szCs w:val="18"/>
              </w:rPr>
              <w:t>MAP (0.791, +0.05)</w:t>
            </w:r>
            <w:r>
              <w:rPr>
                <w:sz w:val="18"/>
                <w:szCs w:val="18"/>
              </w:rPr>
              <w:t xml:space="preserve">, </w:t>
            </w:r>
            <w:r>
              <w:rPr>
                <w:b/>
                <w:bCs/>
                <w:sz w:val="18"/>
                <w:szCs w:val="18"/>
              </w:rPr>
              <w:t>Force (0.708, +0.04)</w:t>
            </w:r>
            <w:r>
              <w:rPr>
                <w:sz w:val="18"/>
                <w:szCs w:val="18"/>
              </w:rPr>
              <w:t xml:space="preserve">, and </w:t>
            </w:r>
            <w:r>
              <w:rPr>
                <w:b/>
                <w:bCs/>
                <w:sz w:val="18"/>
                <w:szCs w:val="18"/>
              </w:rPr>
              <w:t>AFR (0.726, +0.04)</w:t>
            </w:r>
            <w:r>
              <w:rPr>
                <w:sz w:val="18"/>
                <w:szCs w:val="18"/>
              </w:rPr>
              <w:t>.</w:t>
            </w:r>
          </w:p>
          <w:p w14:paraId="0DF9DC46" w14:textId="77777777" w:rsidR="00714E88" w:rsidRDefault="00000000" w:rsidP="00B1418D">
            <w:pPr>
              <w:pStyle w:val="TSP42tablebody"/>
              <w:numPr>
                <w:ilvl w:val="0"/>
                <w:numId w:val="41"/>
              </w:numPr>
              <w:jc w:val="both"/>
              <w:rPr>
                <w:sz w:val="18"/>
                <w:szCs w:val="18"/>
              </w:rPr>
            </w:pPr>
            <w:r>
              <w:rPr>
                <w:b/>
                <w:bCs/>
                <w:sz w:val="18"/>
                <w:szCs w:val="18"/>
              </w:rPr>
              <w:t>Negative contributions (opposing Low Voltage):</w:t>
            </w:r>
          </w:p>
          <w:p w14:paraId="45841AE2" w14:textId="77777777" w:rsidR="00714E88" w:rsidRDefault="00000000" w:rsidP="00B1418D">
            <w:pPr>
              <w:pStyle w:val="TSP42tablebody"/>
              <w:numPr>
                <w:ilvl w:val="1"/>
                <w:numId w:val="41"/>
              </w:numPr>
              <w:jc w:val="both"/>
              <w:rPr>
                <w:sz w:val="18"/>
                <w:szCs w:val="18"/>
              </w:rPr>
            </w:pPr>
            <w:r>
              <w:rPr>
                <w:b/>
                <w:bCs/>
                <w:sz w:val="18"/>
                <w:szCs w:val="18"/>
              </w:rPr>
              <w:t>CO₂ (0.858)</w:t>
            </w:r>
            <w:r>
              <w:rPr>
                <w:sz w:val="18"/>
                <w:szCs w:val="18"/>
              </w:rPr>
              <w:t xml:space="preserve"> contributed negatively (</w:t>
            </w:r>
            <w:r>
              <w:rPr>
                <w:b/>
                <w:bCs/>
                <w:sz w:val="18"/>
                <w:szCs w:val="18"/>
              </w:rPr>
              <w:t>–0.58</w:t>
            </w:r>
            <w:r>
              <w:rPr>
                <w:sz w:val="18"/>
                <w:szCs w:val="18"/>
              </w:rPr>
              <w:t>), reflecting elevated carbon dioxide levels usually associated with more efficient combustion, contradicting a low voltage diagnosis.</w:t>
            </w:r>
          </w:p>
          <w:p w14:paraId="78082571" w14:textId="77777777" w:rsidR="00714E88" w:rsidRDefault="00000000" w:rsidP="00B1418D">
            <w:pPr>
              <w:pStyle w:val="TSP42tablebody"/>
              <w:numPr>
                <w:ilvl w:val="1"/>
                <w:numId w:val="41"/>
              </w:numPr>
              <w:jc w:val="both"/>
              <w:rPr>
                <w:sz w:val="18"/>
                <w:szCs w:val="18"/>
              </w:rPr>
            </w:pPr>
            <w:r>
              <w:rPr>
                <w:b/>
                <w:bCs/>
                <w:sz w:val="18"/>
                <w:szCs w:val="18"/>
              </w:rPr>
              <w:t>Consumption L/H (0.573)</w:t>
            </w:r>
            <w:r>
              <w:rPr>
                <w:sz w:val="18"/>
                <w:szCs w:val="18"/>
              </w:rPr>
              <w:t xml:space="preserve"> opposed the prediction slightly (</w:t>
            </w:r>
            <w:r>
              <w:rPr>
                <w:b/>
                <w:bCs/>
                <w:sz w:val="18"/>
                <w:szCs w:val="18"/>
              </w:rPr>
              <w:t>–0.09</w:t>
            </w:r>
            <w:r>
              <w:rPr>
                <w:sz w:val="18"/>
                <w:szCs w:val="18"/>
              </w:rPr>
              <w:t>), indicating fuel consumption was not abnormally high.</w:t>
            </w:r>
          </w:p>
          <w:p w14:paraId="6B915BFB" w14:textId="77777777" w:rsidR="00714E88" w:rsidRDefault="00000000" w:rsidP="00B1418D">
            <w:pPr>
              <w:pStyle w:val="TSP42tablebody"/>
              <w:numPr>
                <w:ilvl w:val="1"/>
                <w:numId w:val="41"/>
              </w:numPr>
              <w:jc w:val="both"/>
              <w:rPr>
                <w:sz w:val="18"/>
                <w:szCs w:val="18"/>
              </w:rPr>
            </w:pPr>
            <w:r>
              <w:rPr>
                <w:b/>
                <w:bCs/>
                <w:sz w:val="18"/>
                <w:szCs w:val="18"/>
              </w:rPr>
              <w:t>RPM (0.542)</w:t>
            </w:r>
            <w:r>
              <w:rPr>
                <w:sz w:val="18"/>
                <w:szCs w:val="18"/>
              </w:rPr>
              <w:t xml:space="preserve">, </w:t>
            </w:r>
            <w:r>
              <w:rPr>
                <w:b/>
                <w:bCs/>
                <w:sz w:val="18"/>
                <w:szCs w:val="18"/>
              </w:rPr>
              <w:t>Consumption L/100KM (0.576)</w:t>
            </w:r>
            <w:r>
              <w:rPr>
                <w:sz w:val="18"/>
                <w:szCs w:val="18"/>
              </w:rPr>
              <w:t xml:space="preserve">, and </w:t>
            </w:r>
            <w:r>
              <w:rPr>
                <w:b/>
                <w:bCs/>
                <w:sz w:val="18"/>
                <w:szCs w:val="18"/>
              </w:rPr>
              <w:t>TPS (0.800)</w:t>
            </w:r>
            <w:r>
              <w:rPr>
                <w:sz w:val="18"/>
                <w:szCs w:val="18"/>
              </w:rPr>
              <w:t xml:space="preserve"> contributed modest negative values (</w:t>
            </w:r>
            <w:r>
              <w:rPr>
                <w:b/>
                <w:bCs/>
                <w:sz w:val="18"/>
                <w:szCs w:val="18"/>
              </w:rPr>
              <w:t>–0.05, –0.04, –0.03</w:t>
            </w:r>
            <w:r>
              <w:rPr>
                <w:sz w:val="18"/>
                <w:szCs w:val="18"/>
              </w:rPr>
              <w:t>, respectively).</w:t>
            </w:r>
          </w:p>
          <w:p w14:paraId="428296CF" w14:textId="77777777" w:rsidR="00714E88" w:rsidRDefault="00000000" w:rsidP="00B1418D">
            <w:pPr>
              <w:pStyle w:val="TSP42tablebody"/>
              <w:numPr>
                <w:ilvl w:val="0"/>
                <w:numId w:val="41"/>
              </w:numPr>
              <w:jc w:val="both"/>
              <w:rPr>
                <w:sz w:val="18"/>
                <w:szCs w:val="18"/>
              </w:rPr>
            </w:pPr>
            <w:r>
              <w:rPr>
                <w:sz w:val="18"/>
                <w:szCs w:val="18"/>
              </w:rPr>
              <w:t>Overall, strong positive contributions from O₂, HC, and CO dominated, outweighing the negative signals from CO₂ and efficiency-related features.</w:t>
            </w:r>
          </w:p>
          <w:p w14:paraId="26E048F6" w14:textId="77777777" w:rsidR="00714E88" w:rsidRDefault="00000000">
            <w:pPr>
              <w:pStyle w:val="TSP42tablebody"/>
              <w:jc w:val="both"/>
              <w:rPr>
                <w:b/>
                <w:bCs/>
                <w:sz w:val="18"/>
                <w:szCs w:val="18"/>
              </w:rPr>
            </w:pPr>
            <w:r>
              <w:rPr>
                <w:b/>
                <w:bCs/>
                <w:sz w:val="18"/>
                <w:szCs w:val="18"/>
              </w:rPr>
              <w:t>2. Stepwise Contribution Process</w:t>
            </w:r>
          </w:p>
          <w:p w14:paraId="055BBCF8" w14:textId="77777777" w:rsidR="00714E88" w:rsidRDefault="00000000" w:rsidP="00B1418D">
            <w:pPr>
              <w:pStyle w:val="TSP42tablebody"/>
              <w:numPr>
                <w:ilvl w:val="0"/>
                <w:numId w:val="41"/>
              </w:numPr>
              <w:jc w:val="both"/>
              <w:rPr>
                <w:sz w:val="18"/>
                <w:szCs w:val="18"/>
              </w:rPr>
            </w:pPr>
            <w:r>
              <w:rPr>
                <w:sz w:val="18"/>
                <w:szCs w:val="18"/>
              </w:rPr>
              <w:t xml:space="preserve">The baseline model expectation was </w:t>
            </w:r>
            <w:r>
              <w:rPr>
                <w:b/>
                <w:bCs/>
                <w:sz w:val="18"/>
                <w:szCs w:val="18"/>
              </w:rPr>
              <w:t>E[f(X)] = 0.681</w:t>
            </w:r>
            <w:r>
              <w:rPr>
                <w:sz w:val="18"/>
                <w:szCs w:val="18"/>
              </w:rPr>
              <w:t xml:space="preserve"> before considering specific feature values.</w:t>
            </w:r>
          </w:p>
          <w:p w14:paraId="2B6D2107" w14:textId="77777777" w:rsidR="00714E88" w:rsidRDefault="00000000" w:rsidP="00B1418D">
            <w:pPr>
              <w:pStyle w:val="TSP42tablebody"/>
              <w:numPr>
                <w:ilvl w:val="0"/>
                <w:numId w:val="42"/>
              </w:numPr>
              <w:jc w:val="both"/>
              <w:rPr>
                <w:sz w:val="18"/>
                <w:szCs w:val="18"/>
              </w:rPr>
            </w:pPr>
            <w:r>
              <w:rPr>
                <w:sz w:val="18"/>
                <w:szCs w:val="18"/>
              </w:rPr>
              <w:t xml:space="preserve">The prediction increased sharply after the addition of </w:t>
            </w:r>
            <w:r>
              <w:rPr>
                <w:b/>
                <w:bCs/>
                <w:sz w:val="18"/>
                <w:szCs w:val="18"/>
              </w:rPr>
              <w:t>O₂ (+1.06)</w:t>
            </w:r>
            <w:r>
              <w:rPr>
                <w:sz w:val="18"/>
                <w:szCs w:val="18"/>
              </w:rPr>
              <w:t xml:space="preserve"> and </w:t>
            </w:r>
            <w:r>
              <w:rPr>
                <w:b/>
                <w:bCs/>
                <w:sz w:val="18"/>
                <w:szCs w:val="18"/>
              </w:rPr>
              <w:t>HC (+0.90)</w:t>
            </w:r>
            <w:r>
              <w:rPr>
                <w:sz w:val="18"/>
                <w:szCs w:val="18"/>
              </w:rPr>
              <w:t>.</w:t>
            </w:r>
          </w:p>
          <w:p w14:paraId="1498E675" w14:textId="77777777" w:rsidR="00714E88" w:rsidRDefault="00000000" w:rsidP="00B1418D">
            <w:pPr>
              <w:pStyle w:val="TSP42tablebody"/>
              <w:numPr>
                <w:ilvl w:val="0"/>
                <w:numId w:val="42"/>
              </w:numPr>
              <w:jc w:val="both"/>
              <w:rPr>
                <w:sz w:val="18"/>
                <w:szCs w:val="18"/>
              </w:rPr>
            </w:pPr>
            <w:r>
              <w:rPr>
                <w:sz w:val="18"/>
                <w:szCs w:val="18"/>
              </w:rPr>
              <w:t xml:space="preserve">Although </w:t>
            </w:r>
            <w:r>
              <w:rPr>
                <w:b/>
                <w:bCs/>
                <w:sz w:val="18"/>
                <w:szCs w:val="18"/>
              </w:rPr>
              <w:t>CO₂ (–0.58)</w:t>
            </w:r>
            <w:r>
              <w:rPr>
                <w:sz w:val="18"/>
                <w:szCs w:val="18"/>
              </w:rPr>
              <w:t xml:space="preserve"> reduced the score, the impact was offset by </w:t>
            </w:r>
            <w:r>
              <w:rPr>
                <w:b/>
                <w:bCs/>
                <w:sz w:val="18"/>
                <w:szCs w:val="18"/>
              </w:rPr>
              <w:t>CO (+0.39)</w:t>
            </w:r>
            <w:r>
              <w:rPr>
                <w:sz w:val="18"/>
                <w:szCs w:val="18"/>
              </w:rPr>
              <w:t xml:space="preserve"> and </w:t>
            </w:r>
            <w:r>
              <w:rPr>
                <w:b/>
                <w:bCs/>
                <w:sz w:val="18"/>
                <w:szCs w:val="18"/>
              </w:rPr>
              <w:t>Power (+0.16)</w:t>
            </w:r>
            <w:r>
              <w:rPr>
                <w:sz w:val="18"/>
                <w:szCs w:val="18"/>
              </w:rPr>
              <w:t>.</w:t>
            </w:r>
          </w:p>
          <w:p w14:paraId="48CDD2F9" w14:textId="77777777" w:rsidR="00714E88" w:rsidRDefault="00000000" w:rsidP="00B1418D">
            <w:pPr>
              <w:pStyle w:val="TSP42tablebody"/>
              <w:numPr>
                <w:ilvl w:val="0"/>
                <w:numId w:val="42"/>
              </w:numPr>
              <w:jc w:val="both"/>
              <w:rPr>
                <w:sz w:val="18"/>
                <w:szCs w:val="18"/>
              </w:rPr>
            </w:pPr>
            <w:r>
              <w:rPr>
                <w:sz w:val="18"/>
                <w:szCs w:val="18"/>
              </w:rPr>
              <w:t xml:space="preserve">Smaller reinforcements from </w:t>
            </w:r>
            <w:r>
              <w:rPr>
                <w:b/>
                <w:bCs/>
                <w:sz w:val="18"/>
                <w:szCs w:val="18"/>
              </w:rPr>
              <w:t>Lambda, Speed, MAP, Force, and AFR</w:t>
            </w:r>
            <w:r>
              <w:rPr>
                <w:sz w:val="18"/>
                <w:szCs w:val="18"/>
              </w:rPr>
              <w:t xml:space="preserve"> cumulatively supported the Low Voltage classification.</w:t>
            </w:r>
          </w:p>
          <w:p w14:paraId="1B236457" w14:textId="77777777" w:rsidR="00714E88" w:rsidRDefault="00000000" w:rsidP="00B1418D">
            <w:pPr>
              <w:pStyle w:val="TSP42tablebody"/>
              <w:numPr>
                <w:ilvl w:val="0"/>
                <w:numId w:val="42"/>
              </w:numPr>
              <w:jc w:val="both"/>
              <w:rPr>
                <w:sz w:val="18"/>
                <w:szCs w:val="18"/>
              </w:rPr>
            </w:pPr>
            <w:r>
              <w:rPr>
                <w:sz w:val="18"/>
                <w:szCs w:val="18"/>
              </w:rPr>
              <w:t xml:space="preserve">Opposing evidence from </w:t>
            </w:r>
            <w:r>
              <w:rPr>
                <w:b/>
                <w:bCs/>
                <w:sz w:val="18"/>
                <w:szCs w:val="18"/>
              </w:rPr>
              <w:t>Consumption L/H (–0.09)</w:t>
            </w:r>
            <w:r>
              <w:rPr>
                <w:sz w:val="18"/>
                <w:szCs w:val="18"/>
              </w:rPr>
              <w:t xml:space="preserve">, </w:t>
            </w:r>
            <w:r>
              <w:rPr>
                <w:b/>
                <w:bCs/>
                <w:sz w:val="18"/>
                <w:szCs w:val="18"/>
              </w:rPr>
              <w:t>RPM (–0.05)</w:t>
            </w:r>
            <w:r>
              <w:rPr>
                <w:sz w:val="18"/>
                <w:szCs w:val="18"/>
              </w:rPr>
              <w:t xml:space="preserve">, and </w:t>
            </w:r>
            <w:r>
              <w:rPr>
                <w:b/>
                <w:bCs/>
                <w:sz w:val="18"/>
                <w:szCs w:val="18"/>
              </w:rPr>
              <w:t>Consumption L/100KM (–0.04)</w:t>
            </w:r>
            <w:r>
              <w:rPr>
                <w:sz w:val="18"/>
                <w:szCs w:val="18"/>
              </w:rPr>
              <w:t xml:space="preserve"> lowered the prediction slightly, but not enough to counteract the dominant positive contributions.</w:t>
            </w:r>
          </w:p>
          <w:p w14:paraId="37CD14D4" w14:textId="77777777" w:rsidR="00714E88" w:rsidRDefault="00000000" w:rsidP="00B1418D">
            <w:pPr>
              <w:pStyle w:val="TSP42tablebody"/>
              <w:numPr>
                <w:ilvl w:val="0"/>
                <w:numId w:val="42"/>
              </w:numPr>
              <w:jc w:val="both"/>
              <w:rPr>
                <w:sz w:val="18"/>
                <w:szCs w:val="18"/>
              </w:rPr>
            </w:pPr>
            <w:r>
              <w:rPr>
                <w:sz w:val="18"/>
                <w:szCs w:val="18"/>
              </w:rPr>
              <w:t xml:space="preserve">The final prediction reached </w:t>
            </w:r>
            <w:r>
              <w:rPr>
                <w:b/>
                <w:bCs/>
                <w:sz w:val="18"/>
                <w:szCs w:val="18"/>
              </w:rPr>
              <w:t>f(x) = 2.747</w:t>
            </w:r>
            <w:r>
              <w:rPr>
                <w:sz w:val="18"/>
                <w:szCs w:val="18"/>
              </w:rPr>
              <w:t xml:space="preserve">, corresponding to a probability of </w:t>
            </w:r>
            <w:r>
              <w:rPr>
                <w:b/>
                <w:bCs/>
                <w:sz w:val="18"/>
                <w:szCs w:val="18"/>
              </w:rPr>
              <w:t>0.85 for Low Voltage</w:t>
            </w:r>
            <w:r>
              <w:rPr>
                <w:sz w:val="18"/>
                <w:szCs w:val="18"/>
              </w:rPr>
              <w:t>.</w:t>
            </w:r>
          </w:p>
          <w:p w14:paraId="51A4DDD5" w14:textId="77777777" w:rsidR="00714E88" w:rsidRDefault="00000000">
            <w:pPr>
              <w:pStyle w:val="TSP42tablebody"/>
              <w:jc w:val="both"/>
              <w:rPr>
                <w:b/>
                <w:bCs/>
                <w:sz w:val="18"/>
                <w:szCs w:val="18"/>
              </w:rPr>
            </w:pPr>
            <w:r>
              <w:rPr>
                <w:b/>
                <w:bCs/>
                <w:sz w:val="18"/>
                <w:szCs w:val="18"/>
              </w:rPr>
              <w:t>3. Low-Impact Features</w:t>
            </w:r>
          </w:p>
          <w:p w14:paraId="3CDF25E5" w14:textId="77777777" w:rsidR="00714E88" w:rsidRDefault="00000000" w:rsidP="00B1418D">
            <w:pPr>
              <w:pStyle w:val="TSP42tablebody"/>
              <w:numPr>
                <w:ilvl w:val="0"/>
                <w:numId w:val="41"/>
              </w:numPr>
              <w:jc w:val="both"/>
              <w:rPr>
                <w:sz w:val="18"/>
                <w:szCs w:val="18"/>
              </w:rPr>
            </w:pPr>
            <w:r>
              <w:rPr>
                <w:sz w:val="18"/>
                <w:szCs w:val="18"/>
              </w:rPr>
              <w:t>Several variables exerted near-zero influence:</w:t>
            </w:r>
          </w:p>
          <w:p w14:paraId="57BDA326" w14:textId="77777777" w:rsidR="00714E88" w:rsidRDefault="00000000" w:rsidP="00B1418D">
            <w:pPr>
              <w:pStyle w:val="TSP42tablebody"/>
              <w:numPr>
                <w:ilvl w:val="0"/>
                <w:numId w:val="43"/>
              </w:numPr>
              <w:jc w:val="both"/>
              <w:rPr>
                <w:sz w:val="18"/>
                <w:szCs w:val="18"/>
              </w:rPr>
            </w:pPr>
            <w:r>
              <w:rPr>
                <w:b/>
                <w:bCs/>
                <w:sz w:val="18"/>
                <w:szCs w:val="18"/>
              </w:rPr>
              <w:t>MAP (+0.05)</w:t>
            </w:r>
            <w:r>
              <w:rPr>
                <w:sz w:val="18"/>
                <w:szCs w:val="18"/>
              </w:rPr>
              <w:t xml:space="preserve">, </w:t>
            </w:r>
            <w:r>
              <w:rPr>
                <w:b/>
                <w:bCs/>
                <w:sz w:val="18"/>
                <w:szCs w:val="18"/>
              </w:rPr>
              <w:t>Force (+0.04)</w:t>
            </w:r>
            <w:r>
              <w:rPr>
                <w:sz w:val="18"/>
                <w:szCs w:val="18"/>
              </w:rPr>
              <w:t xml:space="preserve">, </w:t>
            </w:r>
            <w:r>
              <w:rPr>
                <w:b/>
                <w:bCs/>
                <w:sz w:val="18"/>
                <w:szCs w:val="18"/>
              </w:rPr>
              <w:t>AFR (+0.04)</w:t>
            </w:r>
            <w:r>
              <w:rPr>
                <w:sz w:val="18"/>
                <w:szCs w:val="18"/>
              </w:rPr>
              <w:t xml:space="preserve">, and </w:t>
            </w:r>
            <w:r>
              <w:rPr>
                <w:b/>
                <w:bCs/>
                <w:sz w:val="18"/>
                <w:szCs w:val="18"/>
              </w:rPr>
              <w:t>TPS (–0.03)</w:t>
            </w:r>
            <w:r>
              <w:rPr>
                <w:sz w:val="18"/>
                <w:szCs w:val="18"/>
              </w:rPr>
              <w:t xml:space="preserve"> were minor contributors, indicating their values were within expected ranges and did not decisively indicate fault.</w:t>
            </w:r>
          </w:p>
          <w:p w14:paraId="2128C44B" w14:textId="77777777" w:rsidR="00714E88" w:rsidRDefault="00000000" w:rsidP="00B1418D">
            <w:pPr>
              <w:pStyle w:val="TSP42tablebody"/>
              <w:numPr>
                <w:ilvl w:val="0"/>
                <w:numId w:val="43"/>
              </w:numPr>
              <w:jc w:val="both"/>
              <w:rPr>
                <w:sz w:val="18"/>
                <w:szCs w:val="18"/>
              </w:rPr>
            </w:pPr>
            <w:r>
              <w:rPr>
                <w:b/>
                <w:bCs/>
                <w:sz w:val="18"/>
                <w:szCs w:val="18"/>
              </w:rPr>
              <w:t>Consumption L/100KM (–0.04)</w:t>
            </w:r>
            <w:r>
              <w:rPr>
                <w:sz w:val="18"/>
                <w:szCs w:val="18"/>
              </w:rPr>
              <w:t xml:space="preserve"> had limited impact, suggesting fuel efficiency per distance was not a strong discriminator in this instance.</w:t>
            </w:r>
          </w:p>
          <w:p w14:paraId="33FF42C5" w14:textId="77777777" w:rsidR="00714E88" w:rsidRDefault="00000000" w:rsidP="00B1418D">
            <w:pPr>
              <w:pStyle w:val="TSP42tablebody"/>
              <w:numPr>
                <w:ilvl w:val="0"/>
                <w:numId w:val="41"/>
              </w:numPr>
              <w:jc w:val="both"/>
              <w:rPr>
                <w:sz w:val="18"/>
                <w:szCs w:val="18"/>
              </w:rPr>
            </w:pPr>
            <w:r>
              <w:rPr>
                <w:sz w:val="18"/>
                <w:szCs w:val="18"/>
              </w:rPr>
              <w:t>Their minimal contributions suggest that while these parameters provided contextual support, the model relied more heavily on gas composition anomalies to drive the classification.</w:t>
            </w:r>
          </w:p>
          <w:p w14:paraId="62B14B04" w14:textId="77777777" w:rsidR="00714E88" w:rsidRDefault="00000000">
            <w:pPr>
              <w:pStyle w:val="TSP42tablebody"/>
              <w:jc w:val="both"/>
              <w:rPr>
                <w:b/>
                <w:bCs/>
                <w:sz w:val="18"/>
                <w:szCs w:val="18"/>
              </w:rPr>
            </w:pPr>
            <w:r>
              <w:rPr>
                <w:b/>
                <w:bCs/>
                <w:sz w:val="18"/>
                <w:szCs w:val="18"/>
              </w:rPr>
              <w:t>4. Decision Logic</w:t>
            </w:r>
          </w:p>
          <w:p w14:paraId="4697D549" w14:textId="77777777" w:rsidR="00714E88" w:rsidRDefault="00000000" w:rsidP="00B1418D">
            <w:pPr>
              <w:pStyle w:val="TSP42tablebody"/>
              <w:numPr>
                <w:ilvl w:val="0"/>
                <w:numId w:val="41"/>
              </w:numPr>
              <w:jc w:val="both"/>
              <w:rPr>
                <w:sz w:val="18"/>
                <w:szCs w:val="18"/>
              </w:rPr>
            </w:pPr>
            <w:r>
              <w:rPr>
                <w:sz w:val="18"/>
                <w:szCs w:val="18"/>
              </w:rPr>
              <w:t>The SHAP decomposition indicates the following reasoning:</w:t>
            </w:r>
          </w:p>
          <w:p w14:paraId="49DE1C86" w14:textId="77777777" w:rsidR="00714E88" w:rsidRDefault="00000000" w:rsidP="00B1418D">
            <w:pPr>
              <w:pStyle w:val="TSP42tablebody"/>
              <w:numPr>
                <w:ilvl w:val="0"/>
                <w:numId w:val="44"/>
              </w:numPr>
              <w:jc w:val="both"/>
              <w:rPr>
                <w:sz w:val="18"/>
                <w:szCs w:val="18"/>
              </w:rPr>
            </w:pPr>
            <w:r>
              <w:rPr>
                <w:b/>
                <w:bCs/>
                <w:sz w:val="18"/>
                <w:szCs w:val="18"/>
              </w:rPr>
              <w:t>Dominant exhaust gas anomalies</w:t>
            </w:r>
            <w:r>
              <w:rPr>
                <w:sz w:val="18"/>
                <w:szCs w:val="18"/>
              </w:rPr>
              <w:t xml:space="preserve"> — Elevated O₂ and HC levels, together with CO, were interpreted as strong signals of incomplete combustion, consistent with ignition-related malfunction.</w:t>
            </w:r>
          </w:p>
          <w:p w14:paraId="68F913B3" w14:textId="77777777" w:rsidR="00714E88" w:rsidRDefault="00000000" w:rsidP="00B1418D">
            <w:pPr>
              <w:pStyle w:val="TSP42tablebody"/>
              <w:numPr>
                <w:ilvl w:val="0"/>
                <w:numId w:val="44"/>
              </w:numPr>
              <w:jc w:val="both"/>
              <w:rPr>
                <w:sz w:val="18"/>
                <w:szCs w:val="18"/>
              </w:rPr>
            </w:pPr>
            <w:r>
              <w:rPr>
                <w:b/>
                <w:bCs/>
                <w:sz w:val="18"/>
                <w:szCs w:val="18"/>
              </w:rPr>
              <w:t>Contradictory combustion signal</w:t>
            </w:r>
            <w:r>
              <w:rPr>
                <w:sz w:val="18"/>
                <w:szCs w:val="18"/>
              </w:rPr>
              <w:t xml:space="preserve"> — High CO₂ suggested efficient burn, which opposed the Low Voltage diagnosis but was outweighed by the stronger incomplete combustion cues.</w:t>
            </w:r>
          </w:p>
          <w:p w14:paraId="36759DC2" w14:textId="77777777" w:rsidR="00714E88" w:rsidRDefault="00000000" w:rsidP="00B1418D">
            <w:pPr>
              <w:pStyle w:val="TSP42tablebody"/>
              <w:numPr>
                <w:ilvl w:val="0"/>
                <w:numId w:val="44"/>
              </w:numPr>
              <w:jc w:val="both"/>
              <w:rPr>
                <w:sz w:val="18"/>
                <w:szCs w:val="18"/>
              </w:rPr>
            </w:pPr>
            <w:r>
              <w:rPr>
                <w:b/>
                <w:bCs/>
                <w:sz w:val="18"/>
                <w:szCs w:val="18"/>
              </w:rPr>
              <w:t>Load and operational support</w:t>
            </w:r>
            <w:r>
              <w:rPr>
                <w:sz w:val="18"/>
                <w:szCs w:val="18"/>
              </w:rPr>
              <w:t xml:space="preserve"> — Moderate contributions from Power, Speed, and Lambda reinforced the classification, reflecting the persistence of ignition-related inefficiency under load.</w:t>
            </w:r>
          </w:p>
          <w:p w14:paraId="5931EC40" w14:textId="77777777" w:rsidR="00714E88" w:rsidRDefault="00000000" w:rsidP="00B1418D">
            <w:pPr>
              <w:pStyle w:val="TSP42tablebody"/>
              <w:numPr>
                <w:ilvl w:val="0"/>
                <w:numId w:val="44"/>
              </w:numPr>
              <w:jc w:val="both"/>
              <w:rPr>
                <w:sz w:val="18"/>
                <w:szCs w:val="18"/>
              </w:rPr>
            </w:pPr>
            <w:r>
              <w:rPr>
                <w:b/>
                <w:bCs/>
                <w:sz w:val="18"/>
                <w:szCs w:val="18"/>
              </w:rPr>
              <w:t>Efficiency and stability checks</w:t>
            </w:r>
            <w:r>
              <w:rPr>
                <w:sz w:val="18"/>
                <w:szCs w:val="18"/>
              </w:rPr>
              <w:t xml:space="preserve"> — Fuel consumption (L/H and L/100KM), RPM, and TPS slightly contradicted the decision, but their magnitudes were too small to alter the outcome.</w:t>
            </w:r>
          </w:p>
          <w:p w14:paraId="6B4125BE" w14:textId="77777777" w:rsidR="00714E88" w:rsidRDefault="00000000" w:rsidP="00B1418D">
            <w:pPr>
              <w:pStyle w:val="TSP42tablebody"/>
              <w:numPr>
                <w:ilvl w:val="0"/>
                <w:numId w:val="44"/>
              </w:numPr>
              <w:jc w:val="both"/>
              <w:rPr>
                <w:sz w:val="18"/>
                <w:szCs w:val="18"/>
              </w:rPr>
            </w:pPr>
            <w:r>
              <w:rPr>
                <w:b/>
                <w:bCs/>
                <w:sz w:val="18"/>
                <w:szCs w:val="18"/>
              </w:rPr>
              <w:t>Final resolution</w:t>
            </w:r>
            <w:r>
              <w:rPr>
                <w:sz w:val="18"/>
                <w:szCs w:val="18"/>
              </w:rPr>
              <w:t xml:space="preserve"> — The aggregation of strong positive exhaust-based evidence decisively pushed the output to the </w:t>
            </w:r>
            <w:r>
              <w:rPr>
                <w:b/>
                <w:bCs/>
                <w:sz w:val="18"/>
                <w:szCs w:val="18"/>
              </w:rPr>
              <w:t>Low Voltage</w:t>
            </w:r>
            <w:r>
              <w:rPr>
                <w:sz w:val="18"/>
                <w:szCs w:val="18"/>
              </w:rPr>
              <w:t xml:space="preserve"> class, despite partial counter-signals from CO₂ and consumption metrics.</w:t>
            </w:r>
          </w:p>
          <w:p w14:paraId="3D51E9B4" w14:textId="77777777" w:rsidR="00714E88" w:rsidRDefault="00000000">
            <w:pPr>
              <w:pStyle w:val="TSP42tablebody"/>
              <w:jc w:val="both"/>
              <w:rPr>
                <w:b/>
                <w:bCs/>
                <w:sz w:val="18"/>
                <w:szCs w:val="18"/>
              </w:rPr>
            </w:pPr>
            <w:r>
              <w:rPr>
                <w:b/>
                <w:bCs/>
                <w:sz w:val="18"/>
                <w:szCs w:val="18"/>
              </w:rPr>
              <w:t>Conclusion</w:t>
            </w:r>
          </w:p>
          <w:p w14:paraId="0A7F65A7" w14:textId="77777777" w:rsidR="00714E88" w:rsidRDefault="00000000" w:rsidP="00B1418D">
            <w:pPr>
              <w:pStyle w:val="TSP42tablebody"/>
              <w:numPr>
                <w:ilvl w:val="0"/>
                <w:numId w:val="41"/>
              </w:numPr>
              <w:jc w:val="both"/>
              <w:rPr>
                <w:sz w:val="18"/>
                <w:szCs w:val="18"/>
              </w:rPr>
            </w:pPr>
            <w:r>
              <w:rPr>
                <w:sz w:val="18"/>
                <w:szCs w:val="18"/>
              </w:rPr>
              <w:t xml:space="preserve">The SHAP explanation demonstrates that the classifier’s </w:t>
            </w:r>
            <w:r>
              <w:rPr>
                <w:i/>
                <w:iCs/>
                <w:sz w:val="18"/>
                <w:szCs w:val="18"/>
              </w:rPr>
              <w:t>Low Voltage</w:t>
            </w:r>
            <w:r>
              <w:rPr>
                <w:sz w:val="18"/>
                <w:szCs w:val="18"/>
              </w:rPr>
              <w:t xml:space="preserve"> prediction was primarily driven by </w:t>
            </w:r>
            <w:r>
              <w:rPr>
                <w:b/>
                <w:bCs/>
                <w:sz w:val="18"/>
                <w:szCs w:val="18"/>
              </w:rPr>
              <w:t>oxygen excess, elevated hydrocarbon levels, and CO emissions</w:t>
            </w:r>
            <w:r>
              <w:rPr>
                <w:sz w:val="18"/>
                <w:szCs w:val="18"/>
              </w:rPr>
              <w:t xml:space="preserve">, which are hallmark indicators of incomplete combustion due to weak ignition. Although CO₂ and some fuel efficiency measures opposed the decision, their influence was insufficient to overcome the dominant gas composition cues. This interpretation confirms that the model locally prioritizes </w:t>
            </w:r>
            <w:r>
              <w:rPr>
                <w:b/>
                <w:bCs/>
                <w:sz w:val="18"/>
                <w:szCs w:val="18"/>
              </w:rPr>
              <w:t>emission irregularities over efficiency metrics</w:t>
            </w:r>
            <w:r>
              <w:rPr>
                <w:sz w:val="18"/>
                <w:szCs w:val="18"/>
              </w:rPr>
              <w:t xml:space="preserve"> in diagnosing ignition-related faults.</w:t>
            </w:r>
          </w:p>
        </w:tc>
      </w:tr>
    </w:tbl>
    <w:p w14:paraId="367BED51" w14:textId="77777777" w:rsidR="00714E88" w:rsidRDefault="00000000">
      <w:pPr>
        <w:pStyle w:val="TSP41tablecaption"/>
        <w:jc w:val="center"/>
      </w:pPr>
      <w:r>
        <w:rPr>
          <w:b/>
        </w:rPr>
        <w:lastRenderedPageBreak/>
        <w:t xml:space="preserve">Table </w:t>
      </w:r>
      <w:r>
        <w:rPr>
          <w:rFonts w:eastAsia="Malgun Gothic" w:hint="eastAsia"/>
          <w:b/>
          <w:lang w:eastAsia="ko-KR"/>
        </w:rPr>
        <w:t>S9</w:t>
      </w:r>
      <w:r>
        <w:rPr>
          <w:b/>
        </w:rPr>
        <w:t xml:space="preserve">: </w:t>
      </w:r>
      <w:r>
        <w:rPr>
          <w:rFonts w:eastAsia="Malgun Gothic" w:hint="eastAsia"/>
          <w:lang w:eastAsia="ko-KR"/>
        </w:rPr>
        <w:t>Interpretation of LIME and SHAP analysis</w:t>
      </w:r>
      <w:r>
        <w:rPr>
          <w:rFonts w:eastAsia="Malgun Gothic"/>
          <w:lang w:eastAsia="ko-KR"/>
        </w:rPr>
        <w:t xml:space="preserve"> using the </w:t>
      </w:r>
      <w:r>
        <w:rPr>
          <w:rFonts w:eastAsia="Malgun Gothic" w:hint="eastAsia"/>
          <w:lang w:eastAsia="ko-KR"/>
        </w:rPr>
        <w:t>L</w:t>
      </w:r>
      <w:r>
        <w:rPr>
          <w:rFonts w:eastAsia="Malgun Gothic"/>
          <w:lang w:eastAsia="ko-KR"/>
        </w:rPr>
        <w:t>LM</w:t>
      </w:r>
      <w:r>
        <w:rPr>
          <w:rFonts w:eastAsia="Malgun Gothic" w:hint="eastAsia"/>
          <w:lang w:eastAsia="ko-KR"/>
        </w:rPr>
        <w:t xml:space="preserve"> </w:t>
      </w:r>
      <w:r>
        <w:rPr>
          <w:rFonts w:eastAsia="Malgun Gothic"/>
          <w:lang w:eastAsia="ko-KR"/>
        </w:rPr>
        <w:t>–</w:t>
      </w:r>
      <w:r>
        <w:rPr>
          <w:rFonts w:eastAsia="Malgun Gothic" w:hint="eastAsia"/>
          <w:lang w:eastAsia="ko-KR"/>
        </w:rPr>
        <w:t xml:space="preserve"> integrating Tables S7 and S8</w:t>
      </w:r>
    </w:p>
    <w:tbl>
      <w:tblPr>
        <w:tblW w:w="9361" w:type="dxa"/>
        <w:jc w:val="center"/>
        <w:tblBorders>
          <w:top w:val="single" w:sz="4" w:space="0" w:color="auto"/>
          <w:bottom w:val="single" w:sz="4" w:space="0" w:color="auto"/>
        </w:tblBorders>
        <w:tblLayout w:type="fixed"/>
        <w:tblCellMar>
          <w:left w:w="0" w:type="dxa"/>
          <w:right w:w="0" w:type="dxa"/>
        </w:tblCellMar>
        <w:tblLook w:val="04A0" w:firstRow="1" w:lastRow="0" w:firstColumn="1" w:lastColumn="0" w:noHBand="0" w:noVBand="1"/>
      </w:tblPr>
      <w:tblGrid>
        <w:gridCol w:w="9361"/>
      </w:tblGrid>
      <w:tr w:rsidR="00714E88" w14:paraId="3CD4905B" w14:textId="77777777">
        <w:trPr>
          <w:trHeight w:val="231"/>
          <w:jc w:val="center"/>
        </w:trPr>
        <w:tc>
          <w:tcPr>
            <w:tcW w:w="9361" w:type="dxa"/>
            <w:tcBorders>
              <w:top w:val="single" w:sz="4" w:space="0" w:color="auto"/>
              <w:bottom w:val="single" w:sz="4" w:space="0" w:color="auto"/>
            </w:tcBorders>
            <w:vAlign w:val="center"/>
          </w:tcPr>
          <w:p w14:paraId="4B4BFA77" w14:textId="77777777" w:rsidR="00714E88" w:rsidRDefault="00000000">
            <w:pPr>
              <w:pStyle w:val="TSP42tablebody"/>
              <w:rPr>
                <w:rFonts w:eastAsia="Malgun Gothic"/>
                <w:b/>
                <w:bCs/>
                <w:sz w:val="18"/>
                <w:szCs w:val="18"/>
                <w:lang w:eastAsia="ko-KR"/>
              </w:rPr>
            </w:pPr>
            <w:r>
              <w:rPr>
                <w:rFonts w:eastAsia="Malgun Gothic" w:hint="eastAsia"/>
                <w:b/>
                <w:bCs/>
                <w:sz w:val="18"/>
                <w:szCs w:val="18"/>
                <w:lang w:eastAsia="ko-KR"/>
              </w:rPr>
              <w:t>Result</w:t>
            </w:r>
          </w:p>
        </w:tc>
      </w:tr>
      <w:tr w:rsidR="00714E88" w14:paraId="174A983C" w14:textId="77777777">
        <w:trPr>
          <w:trHeight w:val="137"/>
          <w:jc w:val="center"/>
        </w:trPr>
        <w:tc>
          <w:tcPr>
            <w:tcW w:w="9361" w:type="dxa"/>
            <w:tcBorders>
              <w:top w:val="single" w:sz="4" w:space="0" w:color="auto"/>
              <w:bottom w:val="single" w:sz="4" w:space="0" w:color="auto"/>
            </w:tcBorders>
            <w:vAlign w:val="center"/>
          </w:tcPr>
          <w:p w14:paraId="41B2C6D4" w14:textId="77777777" w:rsidR="00714E88" w:rsidRDefault="00000000">
            <w:pPr>
              <w:pStyle w:val="TSP42tablebody"/>
              <w:jc w:val="both"/>
              <w:rPr>
                <w:b/>
                <w:bCs/>
                <w:sz w:val="18"/>
                <w:szCs w:val="18"/>
              </w:rPr>
            </w:pPr>
            <w:r>
              <w:rPr>
                <w:b/>
                <w:bCs/>
                <w:sz w:val="18"/>
                <w:szCs w:val="18"/>
              </w:rPr>
              <w:t xml:space="preserve">Unified Local Diagnostic Report — </w:t>
            </w:r>
            <w:r>
              <w:rPr>
                <w:b/>
                <w:bCs/>
                <w:i/>
                <w:iCs/>
                <w:sz w:val="18"/>
                <w:szCs w:val="18"/>
              </w:rPr>
              <w:t>Low Voltage</w:t>
            </w:r>
            <w:r>
              <w:rPr>
                <w:b/>
                <w:bCs/>
                <w:sz w:val="18"/>
                <w:szCs w:val="18"/>
              </w:rPr>
              <w:t xml:space="preserve"> (VLM-LIME × SHAP)</w:t>
            </w:r>
          </w:p>
          <w:p w14:paraId="02828FB5" w14:textId="77777777" w:rsidR="00714E88" w:rsidRDefault="00000000">
            <w:pPr>
              <w:pStyle w:val="TSP42tablebody"/>
              <w:jc w:val="both"/>
              <w:rPr>
                <w:b/>
                <w:bCs/>
                <w:sz w:val="18"/>
                <w:szCs w:val="18"/>
              </w:rPr>
            </w:pPr>
            <w:r>
              <w:rPr>
                <w:b/>
                <w:bCs/>
                <w:sz w:val="18"/>
                <w:szCs w:val="18"/>
              </w:rPr>
              <w:t>1) Summary of Predicted Class</w:t>
            </w:r>
          </w:p>
          <w:p w14:paraId="65CFBA50" w14:textId="77777777" w:rsidR="00714E88" w:rsidRDefault="00000000" w:rsidP="00B1418D">
            <w:pPr>
              <w:pStyle w:val="TSP42tablebody"/>
              <w:numPr>
                <w:ilvl w:val="0"/>
                <w:numId w:val="45"/>
              </w:numPr>
              <w:jc w:val="both"/>
              <w:rPr>
                <w:sz w:val="18"/>
                <w:szCs w:val="18"/>
              </w:rPr>
            </w:pPr>
            <w:r>
              <w:rPr>
                <w:sz w:val="18"/>
                <w:szCs w:val="18"/>
              </w:rPr>
              <w:t xml:space="preserve">Both the LIME and SHAP analyses consistently classify this instance as </w:t>
            </w:r>
            <w:r>
              <w:rPr>
                <w:b/>
                <w:bCs/>
                <w:sz w:val="18"/>
                <w:szCs w:val="18"/>
              </w:rPr>
              <w:t>Low Voltage</w:t>
            </w:r>
            <w:r>
              <w:rPr>
                <w:sz w:val="18"/>
                <w:szCs w:val="18"/>
              </w:rPr>
              <w:t xml:space="preserve">, with the model assigning a high probability of </w:t>
            </w:r>
            <w:r>
              <w:rPr>
                <w:b/>
                <w:bCs/>
                <w:sz w:val="18"/>
                <w:szCs w:val="18"/>
              </w:rPr>
              <w:t>0.85</w:t>
            </w:r>
            <w:r>
              <w:rPr>
                <w:sz w:val="18"/>
                <w:szCs w:val="18"/>
              </w:rPr>
              <w:t>. This diagnosis corresponds to ignition-related weakness leading to incomplete or unstable combustion.</w:t>
            </w:r>
          </w:p>
          <w:p w14:paraId="6D2B8BAB" w14:textId="77777777" w:rsidR="00714E88" w:rsidRDefault="00000000">
            <w:pPr>
              <w:pStyle w:val="TSP42tablebody"/>
              <w:jc w:val="both"/>
              <w:rPr>
                <w:b/>
                <w:bCs/>
                <w:sz w:val="18"/>
                <w:szCs w:val="18"/>
              </w:rPr>
            </w:pPr>
            <w:r>
              <w:rPr>
                <w:b/>
                <w:bCs/>
                <w:sz w:val="18"/>
                <w:szCs w:val="18"/>
              </w:rPr>
              <w:t>2) Consistent Feature Contributions</w:t>
            </w:r>
          </w:p>
          <w:p w14:paraId="3A9A1296" w14:textId="77777777" w:rsidR="00714E88" w:rsidRDefault="00000000" w:rsidP="00B1418D">
            <w:pPr>
              <w:pStyle w:val="TSP42tablebody"/>
              <w:numPr>
                <w:ilvl w:val="0"/>
                <w:numId w:val="45"/>
              </w:numPr>
              <w:jc w:val="both"/>
              <w:rPr>
                <w:sz w:val="18"/>
                <w:szCs w:val="18"/>
              </w:rPr>
            </w:pPr>
            <w:r>
              <w:rPr>
                <w:b/>
                <w:bCs/>
                <w:sz w:val="18"/>
                <w:szCs w:val="18"/>
              </w:rPr>
              <w:t>Exhaust chemistry as dominant drivers</w:t>
            </w:r>
          </w:p>
          <w:p w14:paraId="43C7DAE2" w14:textId="77777777" w:rsidR="00714E88" w:rsidRDefault="00000000" w:rsidP="00B1418D">
            <w:pPr>
              <w:pStyle w:val="TSP42tablebody"/>
              <w:numPr>
                <w:ilvl w:val="0"/>
                <w:numId w:val="45"/>
              </w:numPr>
              <w:jc w:val="both"/>
              <w:rPr>
                <w:sz w:val="18"/>
                <w:szCs w:val="18"/>
              </w:rPr>
            </w:pPr>
            <w:r>
              <w:rPr>
                <w:b/>
                <w:bCs/>
                <w:sz w:val="18"/>
                <w:szCs w:val="18"/>
              </w:rPr>
              <w:t>O₂ deficiency</w:t>
            </w:r>
            <w:r>
              <w:rPr>
                <w:sz w:val="18"/>
                <w:szCs w:val="18"/>
              </w:rPr>
              <w:t>:</w:t>
            </w:r>
          </w:p>
          <w:p w14:paraId="6524FA7F" w14:textId="77777777" w:rsidR="00714E88" w:rsidRDefault="00000000" w:rsidP="00B1418D">
            <w:pPr>
              <w:pStyle w:val="TSP42tablebody"/>
              <w:numPr>
                <w:ilvl w:val="1"/>
                <w:numId w:val="45"/>
              </w:numPr>
              <w:jc w:val="both"/>
              <w:rPr>
                <w:sz w:val="18"/>
                <w:szCs w:val="18"/>
              </w:rPr>
            </w:pPr>
            <w:r>
              <w:rPr>
                <w:i/>
                <w:iCs/>
                <w:sz w:val="18"/>
                <w:szCs w:val="18"/>
              </w:rPr>
              <w:t>LIME</w:t>
            </w:r>
            <w:r>
              <w:rPr>
                <w:sz w:val="18"/>
                <w:szCs w:val="18"/>
              </w:rPr>
              <w:t>: O₂ ≤ 0.22 contributed positively (+0.08).</w:t>
            </w:r>
          </w:p>
          <w:p w14:paraId="56AAD7A4" w14:textId="77777777" w:rsidR="00714E88" w:rsidRDefault="00000000" w:rsidP="00B1418D">
            <w:pPr>
              <w:pStyle w:val="TSP42tablebody"/>
              <w:numPr>
                <w:ilvl w:val="1"/>
                <w:numId w:val="45"/>
              </w:numPr>
              <w:jc w:val="both"/>
              <w:rPr>
                <w:sz w:val="18"/>
                <w:szCs w:val="18"/>
              </w:rPr>
            </w:pPr>
            <w:r>
              <w:rPr>
                <w:i/>
                <w:iCs/>
                <w:sz w:val="18"/>
                <w:szCs w:val="18"/>
              </w:rPr>
              <w:t>SHAP</w:t>
            </w:r>
            <w:r>
              <w:rPr>
                <w:sz w:val="18"/>
                <w:szCs w:val="18"/>
              </w:rPr>
              <w:t>: O₂ (0.162) provided the largest positive effect (+1.06).</w:t>
            </w:r>
          </w:p>
          <w:p w14:paraId="731F91EE" w14:textId="77777777" w:rsidR="00714E88" w:rsidRDefault="00000000" w:rsidP="00B1418D">
            <w:pPr>
              <w:pStyle w:val="TSP42tablebody"/>
              <w:numPr>
                <w:ilvl w:val="1"/>
                <w:numId w:val="45"/>
              </w:numPr>
              <w:jc w:val="both"/>
              <w:rPr>
                <w:sz w:val="18"/>
                <w:szCs w:val="18"/>
              </w:rPr>
            </w:pPr>
            <w:r>
              <w:rPr>
                <w:b/>
                <w:bCs/>
                <w:sz w:val="18"/>
                <w:szCs w:val="18"/>
              </w:rPr>
              <w:t>Interpretation:</w:t>
            </w:r>
            <w:r>
              <w:rPr>
                <w:sz w:val="18"/>
                <w:szCs w:val="18"/>
              </w:rPr>
              <w:t xml:space="preserve"> Low O₂ levels were consistently recognized as the primary cue for weak combustion linked to voltage-related misfires.</w:t>
            </w:r>
          </w:p>
          <w:p w14:paraId="1D2E521F" w14:textId="77777777" w:rsidR="00714E88" w:rsidRDefault="00000000" w:rsidP="00B1418D">
            <w:pPr>
              <w:pStyle w:val="TSP42tablebody"/>
              <w:numPr>
                <w:ilvl w:val="0"/>
                <w:numId w:val="45"/>
              </w:numPr>
              <w:jc w:val="both"/>
              <w:rPr>
                <w:sz w:val="18"/>
                <w:szCs w:val="18"/>
              </w:rPr>
            </w:pPr>
            <w:r>
              <w:rPr>
                <w:b/>
                <w:bCs/>
                <w:sz w:val="18"/>
                <w:szCs w:val="18"/>
              </w:rPr>
              <w:t>CO emissions</w:t>
            </w:r>
            <w:r>
              <w:rPr>
                <w:sz w:val="18"/>
                <w:szCs w:val="18"/>
              </w:rPr>
              <w:t>:</w:t>
            </w:r>
          </w:p>
          <w:p w14:paraId="15113014" w14:textId="77777777" w:rsidR="00714E88" w:rsidRDefault="00000000" w:rsidP="00B1418D">
            <w:pPr>
              <w:pStyle w:val="TSP42tablebody"/>
              <w:numPr>
                <w:ilvl w:val="1"/>
                <w:numId w:val="45"/>
              </w:numPr>
              <w:jc w:val="both"/>
              <w:rPr>
                <w:sz w:val="18"/>
                <w:szCs w:val="18"/>
              </w:rPr>
            </w:pPr>
            <w:r>
              <w:rPr>
                <w:i/>
                <w:iCs/>
                <w:sz w:val="18"/>
                <w:szCs w:val="18"/>
              </w:rPr>
              <w:t>LIME</w:t>
            </w:r>
            <w:r>
              <w:rPr>
                <w:sz w:val="18"/>
                <w:szCs w:val="18"/>
              </w:rPr>
              <w:t>: bounded CO (0.02 &lt; CO ≤ 0.07) added +0.07.</w:t>
            </w:r>
          </w:p>
          <w:p w14:paraId="4F6E2750" w14:textId="77777777" w:rsidR="00714E88" w:rsidRDefault="00000000" w:rsidP="00B1418D">
            <w:pPr>
              <w:pStyle w:val="TSP42tablebody"/>
              <w:numPr>
                <w:ilvl w:val="1"/>
                <w:numId w:val="45"/>
              </w:numPr>
              <w:jc w:val="both"/>
              <w:rPr>
                <w:sz w:val="18"/>
                <w:szCs w:val="18"/>
              </w:rPr>
            </w:pPr>
            <w:r>
              <w:rPr>
                <w:i/>
                <w:iCs/>
                <w:sz w:val="18"/>
                <w:szCs w:val="18"/>
              </w:rPr>
              <w:t>SHAP</w:t>
            </w:r>
            <w:r>
              <w:rPr>
                <w:sz w:val="18"/>
                <w:szCs w:val="18"/>
              </w:rPr>
              <w:t>: CO (0.030) contributed +0.39.</w:t>
            </w:r>
          </w:p>
          <w:p w14:paraId="4FE6FCCE" w14:textId="77777777" w:rsidR="00714E88" w:rsidRDefault="00000000" w:rsidP="00B1418D">
            <w:pPr>
              <w:pStyle w:val="TSP42tablebody"/>
              <w:numPr>
                <w:ilvl w:val="1"/>
                <w:numId w:val="45"/>
              </w:numPr>
              <w:jc w:val="both"/>
              <w:rPr>
                <w:sz w:val="18"/>
                <w:szCs w:val="18"/>
              </w:rPr>
            </w:pPr>
            <w:r>
              <w:rPr>
                <w:b/>
                <w:bCs/>
                <w:sz w:val="18"/>
                <w:szCs w:val="18"/>
              </w:rPr>
              <w:t>Interpretation:</w:t>
            </w:r>
            <w:r>
              <w:rPr>
                <w:sz w:val="18"/>
                <w:szCs w:val="18"/>
              </w:rPr>
              <w:t xml:space="preserve"> Incomplete combustion by-products reinforced the Low Voltage hypothesis in both methods.</w:t>
            </w:r>
          </w:p>
          <w:p w14:paraId="6B7D5562" w14:textId="77777777" w:rsidR="00714E88" w:rsidRDefault="00000000" w:rsidP="00B1418D">
            <w:pPr>
              <w:pStyle w:val="TSP42tablebody"/>
              <w:numPr>
                <w:ilvl w:val="0"/>
                <w:numId w:val="45"/>
              </w:numPr>
              <w:jc w:val="both"/>
              <w:rPr>
                <w:sz w:val="18"/>
                <w:szCs w:val="18"/>
              </w:rPr>
            </w:pPr>
            <w:r>
              <w:rPr>
                <w:b/>
                <w:bCs/>
                <w:sz w:val="18"/>
                <w:szCs w:val="18"/>
              </w:rPr>
              <w:t>CO₂ opposition</w:t>
            </w:r>
            <w:r>
              <w:rPr>
                <w:sz w:val="18"/>
                <w:szCs w:val="18"/>
              </w:rPr>
              <w:t>:</w:t>
            </w:r>
          </w:p>
          <w:p w14:paraId="424175AE" w14:textId="77777777" w:rsidR="00714E88" w:rsidRDefault="00000000" w:rsidP="00B1418D">
            <w:pPr>
              <w:pStyle w:val="TSP42tablebody"/>
              <w:numPr>
                <w:ilvl w:val="1"/>
                <w:numId w:val="45"/>
              </w:numPr>
              <w:jc w:val="both"/>
              <w:rPr>
                <w:sz w:val="18"/>
                <w:szCs w:val="18"/>
              </w:rPr>
            </w:pPr>
            <w:r>
              <w:rPr>
                <w:i/>
                <w:iCs/>
                <w:sz w:val="18"/>
                <w:szCs w:val="18"/>
              </w:rPr>
              <w:t>LIME</w:t>
            </w:r>
            <w:r>
              <w:rPr>
                <w:sz w:val="18"/>
                <w:szCs w:val="18"/>
              </w:rPr>
              <w:t>: CO₂ &gt; 0.77 contributed negatively (–0.07).</w:t>
            </w:r>
          </w:p>
          <w:p w14:paraId="644C6F66" w14:textId="77777777" w:rsidR="00714E88" w:rsidRDefault="00000000" w:rsidP="00B1418D">
            <w:pPr>
              <w:pStyle w:val="TSP42tablebody"/>
              <w:numPr>
                <w:ilvl w:val="1"/>
                <w:numId w:val="45"/>
              </w:numPr>
              <w:jc w:val="both"/>
              <w:rPr>
                <w:sz w:val="18"/>
                <w:szCs w:val="18"/>
              </w:rPr>
            </w:pPr>
            <w:r>
              <w:rPr>
                <w:i/>
                <w:iCs/>
                <w:sz w:val="18"/>
                <w:szCs w:val="18"/>
              </w:rPr>
              <w:t>SHAP</w:t>
            </w:r>
            <w:r>
              <w:rPr>
                <w:sz w:val="18"/>
                <w:szCs w:val="18"/>
              </w:rPr>
              <w:t>: CO₂ (0.858) was the largest negative driver (–0.58).</w:t>
            </w:r>
          </w:p>
          <w:p w14:paraId="635A7811" w14:textId="77777777" w:rsidR="00714E88" w:rsidRDefault="00000000" w:rsidP="00B1418D">
            <w:pPr>
              <w:pStyle w:val="TSP42tablebody"/>
              <w:numPr>
                <w:ilvl w:val="1"/>
                <w:numId w:val="45"/>
              </w:numPr>
              <w:jc w:val="both"/>
              <w:rPr>
                <w:sz w:val="18"/>
                <w:szCs w:val="18"/>
              </w:rPr>
            </w:pPr>
            <w:r>
              <w:rPr>
                <w:b/>
                <w:bCs/>
                <w:sz w:val="18"/>
                <w:szCs w:val="18"/>
              </w:rPr>
              <w:t>Interpretation:</w:t>
            </w:r>
            <w:r>
              <w:rPr>
                <w:sz w:val="18"/>
                <w:szCs w:val="18"/>
              </w:rPr>
              <w:t xml:space="preserve"> High CO₂, a marker of more complete combustion, consistently contradicted the Low Voltage hypothesis but was outweighed by stronger incomplete-combustion signals.</w:t>
            </w:r>
          </w:p>
          <w:p w14:paraId="20BD001D" w14:textId="77777777" w:rsidR="00714E88" w:rsidRDefault="00000000" w:rsidP="00B1418D">
            <w:pPr>
              <w:pStyle w:val="TSP42tablebody"/>
              <w:numPr>
                <w:ilvl w:val="0"/>
                <w:numId w:val="45"/>
              </w:numPr>
              <w:jc w:val="both"/>
              <w:rPr>
                <w:sz w:val="18"/>
                <w:szCs w:val="18"/>
              </w:rPr>
            </w:pPr>
            <w:r>
              <w:rPr>
                <w:b/>
                <w:bCs/>
                <w:sz w:val="18"/>
                <w:szCs w:val="18"/>
              </w:rPr>
              <w:t>Secondary reinforcements</w:t>
            </w:r>
          </w:p>
          <w:p w14:paraId="0DBA2D82" w14:textId="77777777" w:rsidR="00714E88" w:rsidRDefault="00000000" w:rsidP="00B1418D">
            <w:pPr>
              <w:pStyle w:val="TSP42tablebody"/>
              <w:numPr>
                <w:ilvl w:val="0"/>
                <w:numId w:val="46"/>
              </w:numPr>
              <w:jc w:val="both"/>
              <w:rPr>
                <w:sz w:val="18"/>
                <w:szCs w:val="18"/>
              </w:rPr>
            </w:pPr>
            <w:r>
              <w:rPr>
                <w:i/>
                <w:iCs/>
                <w:sz w:val="18"/>
                <w:szCs w:val="18"/>
              </w:rPr>
              <w:t>LIME</w:t>
            </w:r>
            <w:r>
              <w:rPr>
                <w:sz w:val="18"/>
                <w:szCs w:val="18"/>
              </w:rPr>
              <w:t>: HC ≤ 0.16 (+0.05) and Consumption L/H &gt; 0.25 (+0.05) supported the diagnosis.</w:t>
            </w:r>
          </w:p>
          <w:p w14:paraId="3A7086F4" w14:textId="77777777" w:rsidR="00714E88" w:rsidRDefault="00000000" w:rsidP="00B1418D">
            <w:pPr>
              <w:pStyle w:val="TSP42tablebody"/>
              <w:numPr>
                <w:ilvl w:val="0"/>
                <w:numId w:val="46"/>
              </w:numPr>
              <w:jc w:val="both"/>
              <w:rPr>
                <w:sz w:val="18"/>
                <w:szCs w:val="18"/>
              </w:rPr>
            </w:pPr>
            <w:r>
              <w:rPr>
                <w:i/>
                <w:iCs/>
                <w:sz w:val="18"/>
                <w:szCs w:val="18"/>
              </w:rPr>
              <w:t>SHAP</w:t>
            </w:r>
            <w:r>
              <w:rPr>
                <w:sz w:val="18"/>
                <w:szCs w:val="18"/>
              </w:rPr>
              <w:t>: HC (+0.90), Power (+0.16), Speed (+0.10), and Lambda (+0.11) reinforced the decision.</w:t>
            </w:r>
          </w:p>
          <w:p w14:paraId="09F6175C" w14:textId="77777777" w:rsidR="00714E88" w:rsidRDefault="00000000" w:rsidP="00B1418D">
            <w:pPr>
              <w:pStyle w:val="TSP42tablebody"/>
              <w:numPr>
                <w:ilvl w:val="0"/>
                <w:numId w:val="45"/>
              </w:numPr>
              <w:jc w:val="both"/>
              <w:rPr>
                <w:sz w:val="18"/>
                <w:szCs w:val="18"/>
              </w:rPr>
            </w:pPr>
            <w:r>
              <w:rPr>
                <w:b/>
                <w:bCs/>
                <w:sz w:val="18"/>
                <w:szCs w:val="18"/>
              </w:rPr>
              <w:t>Overall consistency</w:t>
            </w:r>
            <w:r>
              <w:rPr>
                <w:sz w:val="18"/>
                <w:szCs w:val="18"/>
              </w:rPr>
              <w:t>: Both methods highlight abnormal oxygen levels and incomplete-combustion by-products (CO, HC) as the defining local evidence for a Low Voltage classification.</w:t>
            </w:r>
          </w:p>
          <w:p w14:paraId="40EADA4C" w14:textId="77777777" w:rsidR="00714E88" w:rsidRDefault="00000000">
            <w:pPr>
              <w:pStyle w:val="TSP42tablebody"/>
              <w:jc w:val="both"/>
              <w:rPr>
                <w:b/>
                <w:bCs/>
                <w:sz w:val="18"/>
                <w:szCs w:val="18"/>
              </w:rPr>
            </w:pPr>
            <w:r>
              <w:rPr>
                <w:b/>
                <w:bCs/>
                <w:sz w:val="18"/>
                <w:szCs w:val="18"/>
              </w:rPr>
              <w:t>3) Method-Specific Insights</w:t>
            </w:r>
          </w:p>
          <w:p w14:paraId="0CC56017" w14:textId="77777777" w:rsidR="00714E88" w:rsidRDefault="00000000" w:rsidP="00B1418D">
            <w:pPr>
              <w:pStyle w:val="TSP42tablebody"/>
              <w:numPr>
                <w:ilvl w:val="0"/>
                <w:numId w:val="47"/>
              </w:numPr>
              <w:jc w:val="both"/>
              <w:rPr>
                <w:sz w:val="18"/>
                <w:szCs w:val="18"/>
              </w:rPr>
            </w:pPr>
            <w:r>
              <w:rPr>
                <w:b/>
                <w:bCs/>
                <w:sz w:val="18"/>
                <w:szCs w:val="18"/>
              </w:rPr>
              <w:t>Hydrocarbons (HC)</w:t>
            </w:r>
          </w:p>
          <w:p w14:paraId="0B041AF7" w14:textId="77777777" w:rsidR="00714E88" w:rsidRDefault="00000000" w:rsidP="00B1418D">
            <w:pPr>
              <w:pStyle w:val="TSP42tablebody"/>
              <w:numPr>
                <w:ilvl w:val="0"/>
                <w:numId w:val="48"/>
              </w:numPr>
              <w:jc w:val="both"/>
              <w:rPr>
                <w:sz w:val="18"/>
                <w:szCs w:val="18"/>
              </w:rPr>
            </w:pPr>
            <w:r>
              <w:rPr>
                <w:i/>
                <w:iCs/>
                <w:sz w:val="18"/>
                <w:szCs w:val="18"/>
              </w:rPr>
              <w:t>LIME:</w:t>
            </w:r>
            <w:r>
              <w:rPr>
                <w:sz w:val="18"/>
                <w:szCs w:val="18"/>
              </w:rPr>
              <w:t xml:space="preserve"> low HC (≤ 0.16) slightly </w:t>
            </w:r>
            <w:r>
              <w:rPr>
                <w:b/>
                <w:bCs/>
                <w:sz w:val="18"/>
                <w:szCs w:val="18"/>
              </w:rPr>
              <w:t>supported</w:t>
            </w:r>
            <w:r>
              <w:rPr>
                <w:sz w:val="18"/>
                <w:szCs w:val="18"/>
              </w:rPr>
              <w:t xml:space="preserve"> Low Voltage.</w:t>
            </w:r>
          </w:p>
          <w:p w14:paraId="378B2995" w14:textId="77777777" w:rsidR="00714E88" w:rsidRDefault="00000000" w:rsidP="00B1418D">
            <w:pPr>
              <w:pStyle w:val="TSP42tablebody"/>
              <w:numPr>
                <w:ilvl w:val="0"/>
                <w:numId w:val="48"/>
              </w:numPr>
              <w:jc w:val="both"/>
              <w:rPr>
                <w:sz w:val="18"/>
                <w:szCs w:val="18"/>
              </w:rPr>
            </w:pPr>
            <w:r>
              <w:rPr>
                <w:i/>
                <w:iCs/>
                <w:sz w:val="18"/>
                <w:szCs w:val="18"/>
              </w:rPr>
              <w:t>SHAP:</w:t>
            </w:r>
            <w:r>
              <w:rPr>
                <w:sz w:val="18"/>
                <w:szCs w:val="18"/>
              </w:rPr>
              <w:t xml:space="preserve"> HC (+0.90) had a </w:t>
            </w:r>
            <w:r>
              <w:rPr>
                <w:b/>
                <w:bCs/>
                <w:sz w:val="18"/>
                <w:szCs w:val="18"/>
              </w:rPr>
              <w:t>strong positive impact</w:t>
            </w:r>
            <w:r>
              <w:rPr>
                <w:sz w:val="18"/>
                <w:szCs w:val="18"/>
              </w:rPr>
              <w:t>, suggesting unburned fuel accumulation under ignition faults.</w:t>
            </w:r>
          </w:p>
          <w:p w14:paraId="70C70747" w14:textId="77777777" w:rsidR="00714E88" w:rsidRDefault="00000000" w:rsidP="00B1418D">
            <w:pPr>
              <w:pStyle w:val="TSP42tablebody"/>
              <w:numPr>
                <w:ilvl w:val="0"/>
                <w:numId w:val="48"/>
              </w:numPr>
              <w:jc w:val="both"/>
              <w:rPr>
                <w:sz w:val="18"/>
                <w:szCs w:val="18"/>
              </w:rPr>
            </w:pPr>
            <w:r>
              <w:rPr>
                <w:b/>
                <w:bCs/>
                <w:sz w:val="18"/>
                <w:szCs w:val="18"/>
              </w:rPr>
              <w:t>Reconciliation:</w:t>
            </w:r>
            <w:r>
              <w:rPr>
                <w:sz w:val="18"/>
                <w:szCs w:val="18"/>
              </w:rPr>
              <w:t xml:space="preserve"> LIME’s discretization interprets low HC as consistent with poor ignition efficiency, while SHAP quantifies it as a dominant driver. This discrepancy reflects </w:t>
            </w:r>
            <w:r>
              <w:rPr>
                <w:b/>
                <w:bCs/>
                <w:sz w:val="18"/>
                <w:szCs w:val="18"/>
              </w:rPr>
              <w:t>different local approximations</w:t>
            </w:r>
            <w:r>
              <w:rPr>
                <w:sz w:val="18"/>
                <w:szCs w:val="18"/>
              </w:rPr>
              <w:t>: LIME favors threshold-based rules, SHAP reflects additive marginal contributions.</w:t>
            </w:r>
          </w:p>
          <w:p w14:paraId="1E6F19F1" w14:textId="77777777" w:rsidR="00714E88" w:rsidRDefault="00000000" w:rsidP="00B1418D">
            <w:pPr>
              <w:pStyle w:val="TSP42tablebody"/>
              <w:numPr>
                <w:ilvl w:val="0"/>
                <w:numId w:val="49"/>
              </w:numPr>
              <w:jc w:val="both"/>
              <w:rPr>
                <w:sz w:val="18"/>
                <w:szCs w:val="18"/>
              </w:rPr>
            </w:pPr>
            <w:r>
              <w:rPr>
                <w:b/>
                <w:bCs/>
                <w:sz w:val="18"/>
                <w:szCs w:val="18"/>
              </w:rPr>
              <w:t>Fuel consumption patterns</w:t>
            </w:r>
          </w:p>
          <w:p w14:paraId="274302CD" w14:textId="77777777" w:rsidR="00714E88" w:rsidRDefault="00000000" w:rsidP="00B1418D">
            <w:pPr>
              <w:pStyle w:val="TSP42tablebody"/>
              <w:numPr>
                <w:ilvl w:val="0"/>
                <w:numId w:val="50"/>
              </w:numPr>
              <w:jc w:val="both"/>
              <w:rPr>
                <w:sz w:val="18"/>
                <w:szCs w:val="18"/>
              </w:rPr>
            </w:pPr>
            <w:r>
              <w:rPr>
                <w:i/>
                <w:iCs/>
                <w:sz w:val="18"/>
                <w:szCs w:val="18"/>
              </w:rPr>
              <w:t>LIME:</w:t>
            </w:r>
            <w:r>
              <w:rPr>
                <w:sz w:val="18"/>
                <w:szCs w:val="18"/>
              </w:rPr>
              <w:t xml:space="preserve"> Consumption L/100KM was the </w:t>
            </w:r>
            <w:r>
              <w:rPr>
                <w:b/>
                <w:bCs/>
                <w:sz w:val="18"/>
                <w:szCs w:val="18"/>
              </w:rPr>
              <w:t>largest negative contributor</w:t>
            </w:r>
            <w:r>
              <w:rPr>
                <w:sz w:val="18"/>
                <w:szCs w:val="18"/>
              </w:rPr>
              <w:t xml:space="preserve"> (–0.17), opposing Low Voltage.</w:t>
            </w:r>
          </w:p>
          <w:p w14:paraId="50CF3A8E" w14:textId="77777777" w:rsidR="00714E88" w:rsidRDefault="00000000" w:rsidP="00B1418D">
            <w:pPr>
              <w:pStyle w:val="TSP42tablebody"/>
              <w:numPr>
                <w:ilvl w:val="0"/>
                <w:numId w:val="50"/>
              </w:numPr>
              <w:jc w:val="both"/>
              <w:rPr>
                <w:sz w:val="18"/>
                <w:szCs w:val="18"/>
              </w:rPr>
            </w:pPr>
            <w:r>
              <w:rPr>
                <w:i/>
                <w:iCs/>
                <w:sz w:val="18"/>
                <w:szCs w:val="18"/>
              </w:rPr>
              <w:t>SHAP:</w:t>
            </w:r>
            <w:r>
              <w:rPr>
                <w:sz w:val="18"/>
                <w:szCs w:val="18"/>
              </w:rPr>
              <w:t xml:space="preserve"> Consumption L/H (–0.09) and L/100KM (–0.04) had mild negative effects.</w:t>
            </w:r>
          </w:p>
          <w:p w14:paraId="39062963" w14:textId="77777777" w:rsidR="00714E88" w:rsidRDefault="00000000" w:rsidP="00B1418D">
            <w:pPr>
              <w:pStyle w:val="TSP42tablebody"/>
              <w:numPr>
                <w:ilvl w:val="0"/>
                <w:numId w:val="50"/>
              </w:numPr>
              <w:jc w:val="both"/>
              <w:rPr>
                <w:sz w:val="18"/>
                <w:szCs w:val="18"/>
              </w:rPr>
            </w:pPr>
            <w:r>
              <w:rPr>
                <w:b/>
                <w:bCs/>
                <w:sz w:val="18"/>
                <w:szCs w:val="18"/>
              </w:rPr>
              <w:t>Reconciliation:</w:t>
            </w:r>
            <w:r>
              <w:rPr>
                <w:sz w:val="18"/>
                <w:szCs w:val="18"/>
              </w:rPr>
              <w:t xml:space="preserve"> Both agree that efficiency metrics contradict the low-voltage hypothesis, but LIME magnifies this opposition due to rule partitioning, while SHAP places it in proper proportion relative to stronger emission cues.</w:t>
            </w:r>
          </w:p>
          <w:p w14:paraId="3C6E7F9A" w14:textId="77777777" w:rsidR="00714E88" w:rsidRDefault="00000000" w:rsidP="00B1418D">
            <w:pPr>
              <w:pStyle w:val="TSP42tablebody"/>
              <w:numPr>
                <w:ilvl w:val="0"/>
                <w:numId w:val="51"/>
              </w:numPr>
              <w:jc w:val="both"/>
              <w:rPr>
                <w:sz w:val="18"/>
                <w:szCs w:val="18"/>
              </w:rPr>
            </w:pPr>
            <w:r>
              <w:rPr>
                <w:b/>
                <w:bCs/>
                <w:sz w:val="18"/>
                <w:szCs w:val="18"/>
              </w:rPr>
              <w:t>Load dynamics</w:t>
            </w:r>
          </w:p>
          <w:p w14:paraId="7621F91B" w14:textId="77777777" w:rsidR="00714E88" w:rsidRDefault="00000000" w:rsidP="00B1418D">
            <w:pPr>
              <w:pStyle w:val="TSP42tablebody"/>
              <w:numPr>
                <w:ilvl w:val="0"/>
                <w:numId w:val="52"/>
              </w:numPr>
              <w:jc w:val="both"/>
              <w:rPr>
                <w:sz w:val="18"/>
                <w:szCs w:val="18"/>
              </w:rPr>
            </w:pPr>
            <w:r>
              <w:rPr>
                <w:i/>
                <w:iCs/>
                <w:sz w:val="18"/>
                <w:szCs w:val="18"/>
              </w:rPr>
              <w:t>LIME:</w:t>
            </w:r>
            <w:r>
              <w:rPr>
                <w:sz w:val="18"/>
                <w:szCs w:val="18"/>
              </w:rPr>
              <w:t xml:space="preserve"> Power (+0.02) had negligible impact; Force (–0.02) slightly negative.</w:t>
            </w:r>
          </w:p>
          <w:p w14:paraId="105E6990" w14:textId="77777777" w:rsidR="00714E88" w:rsidRDefault="00000000" w:rsidP="00B1418D">
            <w:pPr>
              <w:pStyle w:val="TSP42tablebody"/>
              <w:numPr>
                <w:ilvl w:val="0"/>
                <w:numId w:val="52"/>
              </w:numPr>
              <w:jc w:val="both"/>
              <w:rPr>
                <w:sz w:val="18"/>
                <w:szCs w:val="18"/>
              </w:rPr>
            </w:pPr>
            <w:r>
              <w:rPr>
                <w:i/>
                <w:iCs/>
                <w:sz w:val="18"/>
                <w:szCs w:val="18"/>
              </w:rPr>
              <w:t>SHAP:</w:t>
            </w:r>
            <w:r>
              <w:rPr>
                <w:sz w:val="18"/>
                <w:szCs w:val="18"/>
              </w:rPr>
              <w:t xml:space="preserve"> Power (+0.16) and Force (+0.04) contributed modestly positive.</w:t>
            </w:r>
          </w:p>
          <w:p w14:paraId="11046A65" w14:textId="77777777" w:rsidR="00714E88" w:rsidRDefault="00000000" w:rsidP="00B1418D">
            <w:pPr>
              <w:pStyle w:val="TSP42tablebody"/>
              <w:numPr>
                <w:ilvl w:val="0"/>
                <w:numId w:val="52"/>
              </w:numPr>
              <w:jc w:val="both"/>
              <w:rPr>
                <w:sz w:val="18"/>
                <w:szCs w:val="18"/>
              </w:rPr>
            </w:pPr>
            <w:r>
              <w:rPr>
                <w:b/>
                <w:bCs/>
                <w:sz w:val="18"/>
                <w:szCs w:val="18"/>
              </w:rPr>
              <w:t>Reconciliation:</w:t>
            </w:r>
            <w:r>
              <w:rPr>
                <w:sz w:val="18"/>
                <w:szCs w:val="18"/>
              </w:rPr>
              <w:t xml:space="preserve"> SHAP better captures load–combustion interactions, indicating that under these operating conditions, engine load modestly reinforces the ignition-fault profile.</w:t>
            </w:r>
          </w:p>
          <w:p w14:paraId="71725731" w14:textId="77777777" w:rsidR="00714E88" w:rsidRDefault="00000000">
            <w:pPr>
              <w:pStyle w:val="TSP42tablebody"/>
              <w:jc w:val="both"/>
              <w:rPr>
                <w:b/>
                <w:bCs/>
                <w:sz w:val="18"/>
                <w:szCs w:val="18"/>
              </w:rPr>
            </w:pPr>
            <w:r>
              <w:rPr>
                <w:b/>
                <w:bCs/>
                <w:sz w:val="18"/>
                <w:szCs w:val="18"/>
              </w:rPr>
              <w:t>4) Integrated Decision Logic</w:t>
            </w:r>
          </w:p>
          <w:p w14:paraId="4A87DCF9" w14:textId="77777777" w:rsidR="00714E88" w:rsidRDefault="00000000" w:rsidP="00B1418D">
            <w:pPr>
              <w:pStyle w:val="TSP42tablebody"/>
              <w:numPr>
                <w:ilvl w:val="0"/>
                <w:numId w:val="53"/>
              </w:numPr>
              <w:jc w:val="both"/>
              <w:rPr>
                <w:sz w:val="18"/>
                <w:szCs w:val="18"/>
              </w:rPr>
            </w:pPr>
            <w:r>
              <w:rPr>
                <w:b/>
                <w:bCs/>
                <w:sz w:val="18"/>
                <w:szCs w:val="18"/>
              </w:rPr>
              <w:t>Primary drivers — Exhaust gas anomalies</w:t>
            </w:r>
          </w:p>
          <w:p w14:paraId="59352521" w14:textId="77777777" w:rsidR="00714E88" w:rsidRDefault="00000000" w:rsidP="00B1418D">
            <w:pPr>
              <w:pStyle w:val="TSP42tablebody"/>
              <w:numPr>
                <w:ilvl w:val="1"/>
                <w:numId w:val="53"/>
              </w:numPr>
              <w:jc w:val="both"/>
              <w:rPr>
                <w:sz w:val="18"/>
                <w:szCs w:val="18"/>
              </w:rPr>
            </w:pPr>
            <w:r>
              <w:rPr>
                <w:sz w:val="18"/>
                <w:szCs w:val="18"/>
              </w:rPr>
              <w:t xml:space="preserve">Both methods identify </w:t>
            </w:r>
            <w:r>
              <w:rPr>
                <w:b/>
                <w:bCs/>
                <w:sz w:val="18"/>
                <w:szCs w:val="18"/>
              </w:rPr>
              <w:t>low O₂</w:t>
            </w:r>
            <w:r>
              <w:rPr>
                <w:sz w:val="18"/>
                <w:szCs w:val="18"/>
              </w:rPr>
              <w:t xml:space="preserve"> and </w:t>
            </w:r>
            <w:r>
              <w:rPr>
                <w:b/>
                <w:bCs/>
                <w:sz w:val="18"/>
                <w:szCs w:val="18"/>
              </w:rPr>
              <w:t>bounded CO emissions</w:t>
            </w:r>
            <w:r>
              <w:rPr>
                <w:sz w:val="18"/>
                <w:szCs w:val="18"/>
              </w:rPr>
              <w:t xml:space="preserve"> as the dominant cues, directly linked to incomplete combustion under weak ignition.</w:t>
            </w:r>
          </w:p>
          <w:p w14:paraId="66DE59AC" w14:textId="77777777" w:rsidR="00714E88" w:rsidRDefault="00000000" w:rsidP="00B1418D">
            <w:pPr>
              <w:pStyle w:val="TSP42tablebody"/>
              <w:numPr>
                <w:ilvl w:val="1"/>
                <w:numId w:val="53"/>
              </w:numPr>
              <w:jc w:val="both"/>
              <w:rPr>
                <w:sz w:val="18"/>
                <w:szCs w:val="18"/>
              </w:rPr>
            </w:pPr>
            <w:r>
              <w:rPr>
                <w:sz w:val="18"/>
                <w:szCs w:val="18"/>
              </w:rPr>
              <w:t xml:space="preserve">SHAP further emphasizes </w:t>
            </w:r>
            <w:r>
              <w:rPr>
                <w:b/>
                <w:bCs/>
                <w:sz w:val="18"/>
                <w:szCs w:val="18"/>
              </w:rPr>
              <w:t>elevated HC</w:t>
            </w:r>
            <w:r>
              <w:rPr>
                <w:sz w:val="18"/>
                <w:szCs w:val="18"/>
              </w:rPr>
              <w:t xml:space="preserve"> as a major positive driver, aligning with expected unburned fuel residues in voltage-related faults.</w:t>
            </w:r>
          </w:p>
          <w:p w14:paraId="7B2310E5" w14:textId="77777777" w:rsidR="00714E88" w:rsidRDefault="00000000" w:rsidP="00B1418D">
            <w:pPr>
              <w:pStyle w:val="TSP42tablebody"/>
              <w:numPr>
                <w:ilvl w:val="0"/>
                <w:numId w:val="53"/>
              </w:numPr>
              <w:jc w:val="both"/>
              <w:rPr>
                <w:sz w:val="18"/>
                <w:szCs w:val="18"/>
              </w:rPr>
            </w:pPr>
            <w:r>
              <w:rPr>
                <w:b/>
                <w:bCs/>
                <w:sz w:val="18"/>
                <w:szCs w:val="18"/>
              </w:rPr>
              <w:t>Secondary reinforcements — Load and consumption context</w:t>
            </w:r>
          </w:p>
          <w:p w14:paraId="0B4C133C" w14:textId="77777777" w:rsidR="00714E88" w:rsidRDefault="00000000" w:rsidP="00B1418D">
            <w:pPr>
              <w:pStyle w:val="TSP42tablebody"/>
              <w:numPr>
                <w:ilvl w:val="1"/>
                <w:numId w:val="53"/>
              </w:numPr>
              <w:jc w:val="both"/>
              <w:rPr>
                <w:sz w:val="18"/>
                <w:szCs w:val="18"/>
              </w:rPr>
            </w:pPr>
            <w:r>
              <w:rPr>
                <w:sz w:val="18"/>
                <w:szCs w:val="18"/>
              </w:rPr>
              <w:t xml:space="preserve">Supportive contributions from hourly consumption (L/H), Power, Speed, and Lambda reinforced the </w:t>
            </w:r>
            <w:r>
              <w:rPr>
                <w:sz w:val="18"/>
                <w:szCs w:val="18"/>
              </w:rPr>
              <w:lastRenderedPageBreak/>
              <w:t>instability pattern.</w:t>
            </w:r>
          </w:p>
          <w:p w14:paraId="008AA9F6" w14:textId="77777777" w:rsidR="00714E88" w:rsidRDefault="00000000" w:rsidP="00B1418D">
            <w:pPr>
              <w:pStyle w:val="TSP42tablebody"/>
              <w:numPr>
                <w:ilvl w:val="1"/>
                <w:numId w:val="53"/>
              </w:numPr>
              <w:jc w:val="both"/>
              <w:rPr>
                <w:sz w:val="18"/>
                <w:szCs w:val="18"/>
              </w:rPr>
            </w:pPr>
            <w:r>
              <w:rPr>
                <w:sz w:val="18"/>
                <w:szCs w:val="18"/>
              </w:rPr>
              <w:t>These signals indicate inefficiency and imbalance persisting under load.</w:t>
            </w:r>
          </w:p>
          <w:p w14:paraId="62A6E894" w14:textId="77777777" w:rsidR="00714E88" w:rsidRDefault="00000000" w:rsidP="00B1418D">
            <w:pPr>
              <w:pStyle w:val="TSP42tablebody"/>
              <w:numPr>
                <w:ilvl w:val="0"/>
                <w:numId w:val="53"/>
              </w:numPr>
              <w:jc w:val="both"/>
              <w:rPr>
                <w:sz w:val="18"/>
                <w:szCs w:val="18"/>
              </w:rPr>
            </w:pPr>
            <w:r>
              <w:rPr>
                <w:b/>
                <w:bCs/>
                <w:sz w:val="18"/>
                <w:szCs w:val="18"/>
              </w:rPr>
              <w:t>Counteracting signals — Combustion efficiency markers</w:t>
            </w:r>
          </w:p>
          <w:p w14:paraId="38356809" w14:textId="77777777" w:rsidR="00714E88" w:rsidRDefault="00000000" w:rsidP="00B1418D">
            <w:pPr>
              <w:pStyle w:val="TSP42tablebody"/>
              <w:numPr>
                <w:ilvl w:val="1"/>
                <w:numId w:val="53"/>
              </w:numPr>
              <w:jc w:val="both"/>
              <w:rPr>
                <w:sz w:val="18"/>
                <w:szCs w:val="18"/>
              </w:rPr>
            </w:pPr>
            <w:r>
              <w:rPr>
                <w:sz w:val="18"/>
                <w:szCs w:val="18"/>
              </w:rPr>
              <w:t>Elevated CO₂ and higher distance-based fuel efficiency (L/100KM) opposed the diagnosis, signaling more complete combustion.</w:t>
            </w:r>
          </w:p>
          <w:p w14:paraId="73E4E048" w14:textId="77777777" w:rsidR="00714E88" w:rsidRDefault="00000000" w:rsidP="00B1418D">
            <w:pPr>
              <w:pStyle w:val="TSP42tablebody"/>
              <w:numPr>
                <w:ilvl w:val="1"/>
                <w:numId w:val="53"/>
              </w:numPr>
              <w:jc w:val="both"/>
              <w:rPr>
                <w:sz w:val="18"/>
                <w:szCs w:val="18"/>
              </w:rPr>
            </w:pPr>
            <w:r>
              <w:rPr>
                <w:sz w:val="18"/>
                <w:szCs w:val="18"/>
              </w:rPr>
              <w:t>However, these influences were smaller in magnitude and outweighed by dominant incomplete-combustion indicators.</w:t>
            </w:r>
          </w:p>
          <w:p w14:paraId="2E7D2125" w14:textId="77777777" w:rsidR="00714E88" w:rsidRDefault="00000000" w:rsidP="00B1418D">
            <w:pPr>
              <w:pStyle w:val="TSP42tablebody"/>
              <w:numPr>
                <w:ilvl w:val="0"/>
                <w:numId w:val="53"/>
              </w:numPr>
              <w:jc w:val="both"/>
              <w:rPr>
                <w:sz w:val="18"/>
                <w:szCs w:val="18"/>
              </w:rPr>
            </w:pPr>
            <w:r>
              <w:rPr>
                <w:b/>
                <w:bCs/>
                <w:sz w:val="18"/>
                <w:szCs w:val="18"/>
              </w:rPr>
              <w:t>Resolution</w:t>
            </w:r>
          </w:p>
          <w:p w14:paraId="116D4D01" w14:textId="77777777" w:rsidR="00714E88" w:rsidRDefault="00000000" w:rsidP="00B1418D">
            <w:pPr>
              <w:pStyle w:val="TSP42tablebody"/>
              <w:numPr>
                <w:ilvl w:val="1"/>
                <w:numId w:val="53"/>
              </w:numPr>
              <w:jc w:val="both"/>
              <w:rPr>
                <w:sz w:val="18"/>
                <w:szCs w:val="18"/>
              </w:rPr>
            </w:pPr>
            <w:r>
              <w:rPr>
                <w:sz w:val="18"/>
                <w:szCs w:val="18"/>
              </w:rPr>
              <w:t xml:space="preserve">The aggregation of </w:t>
            </w:r>
            <w:r>
              <w:rPr>
                <w:b/>
                <w:bCs/>
                <w:sz w:val="18"/>
                <w:szCs w:val="18"/>
              </w:rPr>
              <w:t>strong pro-fault signals (O₂ deficiency, HC, CO)</w:t>
            </w:r>
            <w:r>
              <w:rPr>
                <w:sz w:val="18"/>
                <w:szCs w:val="18"/>
              </w:rPr>
              <w:t xml:space="preserve"> and </w:t>
            </w:r>
            <w:r>
              <w:rPr>
                <w:b/>
                <w:bCs/>
                <w:sz w:val="18"/>
                <w:szCs w:val="18"/>
              </w:rPr>
              <w:t>moderate load reinforcements</w:t>
            </w:r>
            <w:r>
              <w:rPr>
                <w:sz w:val="18"/>
                <w:szCs w:val="18"/>
              </w:rPr>
              <w:t xml:space="preserve"> overrode the </w:t>
            </w:r>
            <w:r>
              <w:rPr>
                <w:b/>
                <w:bCs/>
                <w:sz w:val="18"/>
                <w:szCs w:val="18"/>
              </w:rPr>
              <w:t>contradictory evidence (CO₂, L/100KM)</w:t>
            </w:r>
            <w:r>
              <w:rPr>
                <w:sz w:val="18"/>
                <w:szCs w:val="18"/>
              </w:rPr>
              <w:t>.</w:t>
            </w:r>
          </w:p>
          <w:p w14:paraId="292FDA8F" w14:textId="77777777" w:rsidR="00714E88" w:rsidRDefault="00000000" w:rsidP="00B1418D">
            <w:pPr>
              <w:pStyle w:val="TSP42tablebody"/>
              <w:numPr>
                <w:ilvl w:val="1"/>
                <w:numId w:val="53"/>
              </w:numPr>
              <w:jc w:val="both"/>
              <w:rPr>
                <w:sz w:val="18"/>
                <w:szCs w:val="18"/>
              </w:rPr>
            </w:pPr>
            <w:r>
              <w:rPr>
                <w:sz w:val="18"/>
                <w:szCs w:val="18"/>
              </w:rPr>
              <w:t xml:space="preserve">Both methods converge on a confident </w:t>
            </w:r>
            <w:r>
              <w:rPr>
                <w:b/>
                <w:bCs/>
                <w:sz w:val="18"/>
                <w:szCs w:val="18"/>
              </w:rPr>
              <w:t>Low Voltage classification</w:t>
            </w:r>
            <w:r>
              <w:rPr>
                <w:sz w:val="18"/>
                <w:szCs w:val="18"/>
              </w:rPr>
              <w:t xml:space="preserve"> with probability 0.85.</w:t>
            </w:r>
          </w:p>
          <w:p w14:paraId="2BE06675" w14:textId="77777777" w:rsidR="00714E88" w:rsidRDefault="00000000">
            <w:pPr>
              <w:pStyle w:val="TSP42tablebody"/>
              <w:jc w:val="both"/>
              <w:rPr>
                <w:b/>
                <w:bCs/>
                <w:sz w:val="18"/>
                <w:szCs w:val="18"/>
              </w:rPr>
            </w:pPr>
            <w:r>
              <w:rPr>
                <w:b/>
                <w:bCs/>
                <w:sz w:val="18"/>
                <w:szCs w:val="18"/>
              </w:rPr>
              <w:t>5) Conclusion</w:t>
            </w:r>
          </w:p>
          <w:p w14:paraId="5AC76D6B" w14:textId="77777777" w:rsidR="00714E88" w:rsidRDefault="00000000" w:rsidP="00B1418D">
            <w:pPr>
              <w:pStyle w:val="TSP42tablebody"/>
              <w:numPr>
                <w:ilvl w:val="0"/>
                <w:numId w:val="45"/>
              </w:numPr>
              <w:jc w:val="both"/>
              <w:rPr>
                <w:sz w:val="18"/>
                <w:szCs w:val="18"/>
              </w:rPr>
            </w:pPr>
            <w:r>
              <w:rPr>
                <w:sz w:val="18"/>
                <w:szCs w:val="18"/>
              </w:rPr>
              <w:t xml:space="preserve">The unified interpretation confirms that the model’s Low Voltage prediction was </w:t>
            </w:r>
            <w:r>
              <w:rPr>
                <w:b/>
                <w:bCs/>
                <w:sz w:val="18"/>
                <w:szCs w:val="18"/>
              </w:rPr>
              <w:t>principally driven by oxygen imbalance and incomplete-combustion signatures (HC, CO)</w:t>
            </w:r>
            <w:r>
              <w:rPr>
                <w:sz w:val="18"/>
                <w:szCs w:val="18"/>
              </w:rPr>
              <w:t>, supplemented by load and operational variables. Although combustion-efficiency markers (CO₂, L/100KM) opposed the fault diagnosis, their limited influence did not offset the dominant evidence.</w:t>
            </w:r>
          </w:p>
          <w:p w14:paraId="2FBD96B0" w14:textId="77777777" w:rsidR="00714E88" w:rsidRDefault="00000000" w:rsidP="00B1418D">
            <w:pPr>
              <w:pStyle w:val="TSP42tablebody"/>
              <w:numPr>
                <w:ilvl w:val="0"/>
                <w:numId w:val="45"/>
              </w:numPr>
              <w:jc w:val="both"/>
              <w:rPr>
                <w:sz w:val="18"/>
                <w:szCs w:val="18"/>
              </w:rPr>
            </w:pPr>
            <w:r>
              <w:rPr>
                <w:sz w:val="18"/>
                <w:szCs w:val="18"/>
              </w:rPr>
              <w:t xml:space="preserve">This synthesis highlights that the classifier locally prioritizes </w:t>
            </w:r>
            <w:r>
              <w:rPr>
                <w:b/>
                <w:bCs/>
                <w:sz w:val="18"/>
                <w:szCs w:val="18"/>
              </w:rPr>
              <w:t>exhaust chemistry anomalies</w:t>
            </w:r>
            <w:r>
              <w:rPr>
                <w:sz w:val="18"/>
                <w:szCs w:val="18"/>
              </w:rPr>
              <w:t xml:space="preserve"> over efficiency metrics when diagnosing ignition-related faults. While LIME underscored O₂ and CO thresholds as primary rules, SHAP quantified HC and load contributions as stronger amplifiers. Together, they provide a coherent explanation of how the model resolved this instance as </w:t>
            </w:r>
            <w:r>
              <w:rPr>
                <w:b/>
                <w:bCs/>
                <w:sz w:val="18"/>
                <w:szCs w:val="18"/>
              </w:rPr>
              <w:t>Low Voltage</w:t>
            </w:r>
            <w:r>
              <w:rPr>
                <w:sz w:val="18"/>
                <w:szCs w:val="18"/>
              </w:rPr>
              <w:t xml:space="preserve">, with the reasoning dominated by </w:t>
            </w:r>
            <w:r>
              <w:rPr>
                <w:b/>
                <w:bCs/>
                <w:sz w:val="18"/>
                <w:szCs w:val="18"/>
              </w:rPr>
              <w:t>incomplete combustion under ignition weakness</w:t>
            </w:r>
            <w:r>
              <w:rPr>
                <w:sz w:val="18"/>
                <w:szCs w:val="18"/>
              </w:rPr>
              <w:t>.</w:t>
            </w:r>
          </w:p>
        </w:tc>
      </w:tr>
    </w:tbl>
    <w:p w14:paraId="23BEF56A" w14:textId="77777777" w:rsidR="00714E88" w:rsidRDefault="00714E88">
      <w:pPr>
        <w:pStyle w:val="a"/>
        <w:spacing w:before="240" w:line="276" w:lineRule="auto"/>
        <w:rPr>
          <w:rFonts w:ascii="Times New Roman" w:eastAsiaTheme="majorHAnsi" w:hAnsi="Times New Roman" w:cs="Times New Roman"/>
          <w:color w:val="auto"/>
        </w:rPr>
      </w:pPr>
    </w:p>
    <w:p w14:paraId="6FD99F26" w14:textId="77777777" w:rsidR="00714E88" w:rsidRDefault="00714E88">
      <w:pPr>
        <w:pStyle w:val="a"/>
        <w:spacing w:before="240" w:line="276" w:lineRule="auto"/>
        <w:rPr>
          <w:rFonts w:ascii="Times New Roman" w:eastAsiaTheme="majorHAnsi" w:hAnsi="Times New Roman" w:cs="Times New Roman"/>
          <w:color w:val="auto"/>
        </w:rPr>
      </w:pPr>
    </w:p>
    <w:sectPr w:rsidR="00714E8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6C677" w14:textId="77777777" w:rsidR="00940189" w:rsidRDefault="00940189">
      <w:pPr>
        <w:spacing w:line="240" w:lineRule="auto"/>
      </w:pPr>
      <w:r>
        <w:separator/>
      </w:r>
    </w:p>
  </w:endnote>
  <w:endnote w:type="continuationSeparator" w:id="0">
    <w:p w14:paraId="76F4AE5F" w14:textId="77777777" w:rsidR="00940189" w:rsidRDefault="009401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00"/>
    <w:family w:val="auto"/>
    <w:pitch w:val="default"/>
  </w:font>
  <w:font w:name="함초롬바탕">
    <w:altName w:val="Malgun Gothic Semilight"/>
    <w:charset w:val="81"/>
    <w:family w:val="roman"/>
    <w:pitch w:val="default"/>
    <w:sig w:usb0="00000000" w:usb1="00000000" w:usb2="001BFDD7" w:usb3="00000000" w:csb0="001F01FF" w:csb1="00000000"/>
  </w:font>
  <w:font w:name="Palatino Linotype">
    <w:panose1 w:val="02040502050505030304"/>
    <w:charset w:val="00"/>
    <w:family w:val="roman"/>
    <w:pitch w:val="variable"/>
    <w:sig w:usb0="E0000287" w:usb1="40000013" w:usb2="00000000" w:usb3="00000000" w:csb0="0000019F" w:csb1="00000000"/>
  </w:font>
  <w:font w:name="Minion Pro">
    <w:panose1 w:val="02040503050201020203"/>
    <w:charset w:val="00"/>
    <w:family w:val="roman"/>
    <w:notTrueType/>
    <w:pitch w:val="variable"/>
    <w:sig w:usb0="E00002AF" w:usb1="5000E07B" w:usb2="00000000" w:usb3="00000000" w:csb0="0000019F" w:csb1="00000000"/>
  </w:font>
  <w:font w:name="Cordia New">
    <w:panose1 w:val="020B0304020202020204"/>
    <w:charset w:val="DE"/>
    <w:family w:val="swiss"/>
    <w:pitch w:val="default"/>
    <w:sig w:usb0="00000000"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EE3DD" w14:textId="77777777" w:rsidR="00940189" w:rsidRDefault="00940189">
      <w:pPr>
        <w:spacing w:after="0"/>
      </w:pPr>
      <w:r>
        <w:separator/>
      </w:r>
    </w:p>
  </w:footnote>
  <w:footnote w:type="continuationSeparator" w:id="0">
    <w:p w14:paraId="485119CD" w14:textId="77777777" w:rsidR="00940189" w:rsidRDefault="009401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6973"/>
    <w:multiLevelType w:val="multilevel"/>
    <w:tmpl w:val="00A26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3BB406F"/>
    <w:multiLevelType w:val="multilevel"/>
    <w:tmpl w:val="03BB406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4334AC5"/>
    <w:multiLevelType w:val="multilevel"/>
    <w:tmpl w:val="04334AC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6941C17"/>
    <w:multiLevelType w:val="multilevel"/>
    <w:tmpl w:val="06941C1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6DA05CD"/>
    <w:multiLevelType w:val="multilevel"/>
    <w:tmpl w:val="06DA05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70A3BB0"/>
    <w:multiLevelType w:val="multilevel"/>
    <w:tmpl w:val="070A3BB0"/>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082529F4"/>
    <w:multiLevelType w:val="multilevel"/>
    <w:tmpl w:val="082529F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C9A1EAA"/>
    <w:multiLevelType w:val="multilevel"/>
    <w:tmpl w:val="0C9A1EA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CD45548"/>
    <w:multiLevelType w:val="multilevel"/>
    <w:tmpl w:val="0CD4554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1AD3EBA"/>
    <w:multiLevelType w:val="multilevel"/>
    <w:tmpl w:val="11AD3EB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382142C"/>
    <w:multiLevelType w:val="multilevel"/>
    <w:tmpl w:val="138214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6346DBD"/>
    <w:multiLevelType w:val="multilevel"/>
    <w:tmpl w:val="16346DBD"/>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1B16533A"/>
    <w:multiLevelType w:val="multilevel"/>
    <w:tmpl w:val="1B16533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1E70743B"/>
    <w:multiLevelType w:val="multilevel"/>
    <w:tmpl w:val="1E7074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F1528DC"/>
    <w:multiLevelType w:val="multilevel"/>
    <w:tmpl w:val="1F1528D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20A74BB4"/>
    <w:multiLevelType w:val="multilevel"/>
    <w:tmpl w:val="20A74BB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248A6A67"/>
    <w:multiLevelType w:val="multilevel"/>
    <w:tmpl w:val="248A6A6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25A57674"/>
    <w:multiLevelType w:val="multilevel"/>
    <w:tmpl w:val="25A5767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25C238A4"/>
    <w:multiLevelType w:val="multilevel"/>
    <w:tmpl w:val="25C238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2BD71C24"/>
    <w:multiLevelType w:val="multilevel"/>
    <w:tmpl w:val="2BD71C2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CD3583B"/>
    <w:multiLevelType w:val="multilevel"/>
    <w:tmpl w:val="2CD358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2FC5521F"/>
    <w:multiLevelType w:val="multilevel"/>
    <w:tmpl w:val="2FC5521F"/>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32F75C3D"/>
    <w:multiLevelType w:val="multilevel"/>
    <w:tmpl w:val="32F75C3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34E441A8"/>
    <w:multiLevelType w:val="multilevel"/>
    <w:tmpl w:val="34E441A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37BA0972"/>
    <w:multiLevelType w:val="multilevel"/>
    <w:tmpl w:val="37BA09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3A7D7DF6"/>
    <w:multiLevelType w:val="multilevel"/>
    <w:tmpl w:val="3A7D7DF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1170"/>
        </w:tabs>
        <w:ind w:left="1170" w:hanging="360"/>
      </w:pPr>
      <w:rPr>
        <w:i w:val="0"/>
      </w:rPr>
    </w:lvl>
  </w:abstractNum>
  <w:abstractNum w:abstractNumId="27" w15:restartNumberingAfterBreak="0">
    <w:nsid w:val="3C78044C"/>
    <w:multiLevelType w:val="multilevel"/>
    <w:tmpl w:val="3C78044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3D261634"/>
    <w:multiLevelType w:val="multilevel"/>
    <w:tmpl w:val="3D2616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413E27B8"/>
    <w:multiLevelType w:val="multilevel"/>
    <w:tmpl w:val="413E27B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430D040F"/>
    <w:multiLevelType w:val="multilevel"/>
    <w:tmpl w:val="430D040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442D2AC4"/>
    <w:multiLevelType w:val="multilevel"/>
    <w:tmpl w:val="442D2A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46B54B50"/>
    <w:multiLevelType w:val="multilevel"/>
    <w:tmpl w:val="46B54B50"/>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4B041CFA"/>
    <w:multiLevelType w:val="multilevel"/>
    <w:tmpl w:val="4B041C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4B402E1C"/>
    <w:multiLevelType w:val="multilevel"/>
    <w:tmpl w:val="4B402E1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4DB54B48"/>
    <w:multiLevelType w:val="multilevel"/>
    <w:tmpl w:val="4DB54B4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50A50485"/>
    <w:multiLevelType w:val="multilevel"/>
    <w:tmpl w:val="50A5048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7" w15:restartNumberingAfterBreak="0">
    <w:nsid w:val="51876D8C"/>
    <w:multiLevelType w:val="multilevel"/>
    <w:tmpl w:val="51876D8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55555D54"/>
    <w:multiLevelType w:val="multilevel"/>
    <w:tmpl w:val="55555D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55C1061D"/>
    <w:multiLevelType w:val="multilevel"/>
    <w:tmpl w:val="55C106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55C47FF5"/>
    <w:multiLevelType w:val="multilevel"/>
    <w:tmpl w:val="55C47FF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57617392"/>
    <w:multiLevelType w:val="multilevel"/>
    <w:tmpl w:val="576173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601A7E01"/>
    <w:multiLevelType w:val="multilevel"/>
    <w:tmpl w:val="601A7E0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652576C3"/>
    <w:multiLevelType w:val="multilevel"/>
    <w:tmpl w:val="652576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69DE444E"/>
    <w:multiLevelType w:val="multilevel"/>
    <w:tmpl w:val="69DE444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5" w15:restartNumberingAfterBreak="0">
    <w:nsid w:val="6F404C9F"/>
    <w:multiLevelType w:val="multilevel"/>
    <w:tmpl w:val="6F404C9F"/>
    <w:lvl w:ilvl="0">
      <w:start w:val="1"/>
      <w:numFmt w:val="bullet"/>
      <w:pStyle w:val="dashitem"/>
      <w:lvlText w:val="─"/>
      <w:lvlJc w:val="left"/>
      <w:pPr>
        <w:tabs>
          <w:tab w:val="left" w:pos="227"/>
        </w:tabs>
        <w:ind w:left="227" w:hanging="227"/>
      </w:pPr>
      <w:rPr>
        <w:rFonts w:ascii="Times New Roman" w:hAnsi="Times New Roman" w:cs="Times New Roman" w:hint="default"/>
      </w:rPr>
    </w:lvl>
    <w:lvl w:ilvl="1">
      <w:start w:val="1"/>
      <w:numFmt w:val="bullet"/>
      <w:lvlText w:val=""/>
      <w:lvlJc w:val="left"/>
      <w:pPr>
        <w:tabs>
          <w:tab w:val="left" w:pos="454"/>
        </w:tabs>
        <w:ind w:left="454" w:hanging="227"/>
      </w:pPr>
      <w:rPr>
        <w:rFonts w:ascii="Symbol" w:hAnsi="Symbol" w:hint="default"/>
      </w:rPr>
    </w:lvl>
    <w:lvl w:ilvl="2">
      <w:start w:val="1"/>
      <w:numFmt w:val="bullet"/>
      <w:lvlText w:val="○"/>
      <w:lvlJc w:val="left"/>
      <w:pPr>
        <w:tabs>
          <w:tab w:val="left" w:pos="680"/>
        </w:tabs>
        <w:ind w:left="680" w:hanging="226"/>
      </w:pPr>
      <w:rPr>
        <w:rFonts w:ascii="Times New Roman" w:hAnsi="Times New Roman" w:cs="Times New Roman" w:hint="default"/>
      </w:rPr>
    </w:lvl>
    <w:lvl w:ilvl="3">
      <w:start w:val="1"/>
      <w:numFmt w:val="bullet"/>
      <w:lvlText w:val="■"/>
      <w:lvlJc w:val="left"/>
      <w:pPr>
        <w:tabs>
          <w:tab w:val="left" w:pos="907"/>
        </w:tabs>
        <w:ind w:left="907" w:hanging="227"/>
      </w:pPr>
      <w:rPr>
        <w:rFonts w:ascii="Times New Roman" w:hAnsi="Times New Roman" w:cs="Times New Roman" w:hint="default"/>
      </w:rPr>
    </w:lvl>
    <w:lvl w:ilvl="4">
      <w:start w:val="1"/>
      <w:numFmt w:val="bullet"/>
      <w:lvlText w:val="○"/>
      <w:lvlJc w:val="left"/>
      <w:pPr>
        <w:tabs>
          <w:tab w:val="left" w:pos="1134"/>
        </w:tabs>
        <w:ind w:left="1134" w:hanging="227"/>
      </w:pPr>
      <w:rPr>
        <w:rFonts w:ascii="Times New Roman" w:hAnsi="Times New Roman" w:cs="Times New Roman" w:hint="default"/>
      </w:rPr>
    </w:lvl>
    <w:lvl w:ilvl="5">
      <w:start w:val="1"/>
      <w:numFmt w:val="bullet"/>
      <w:lvlText w:val="■"/>
      <w:lvlJc w:val="left"/>
      <w:pPr>
        <w:tabs>
          <w:tab w:val="left" w:pos="1361"/>
        </w:tabs>
        <w:ind w:left="1361" w:hanging="227"/>
      </w:pPr>
      <w:rPr>
        <w:rFonts w:ascii="Times New Roman" w:hAnsi="Times New Roman" w:cs="Times New Roman" w:hint="default"/>
      </w:rPr>
    </w:lvl>
    <w:lvl w:ilvl="6">
      <w:start w:val="1"/>
      <w:numFmt w:val="bullet"/>
      <w:lvlText w:val=""/>
      <w:lvlJc w:val="left"/>
      <w:pPr>
        <w:tabs>
          <w:tab w:val="left" w:pos="1588"/>
        </w:tabs>
        <w:ind w:left="1588" w:hanging="227"/>
      </w:pPr>
      <w:rPr>
        <w:rFonts w:ascii="Symbol" w:hAnsi="Symbol" w:hint="default"/>
      </w:rPr>
    </w:lvl>
    <w:lvl w:ilvl="7">
      <w:start w:val="1"/>
      <w:numFmt w:val="bullet"/>
      <w:lvlText w:val="○"/>
      <w:lvlJc w:val="left"/>
      <w:pPr>
        <w:tabs>
          <w:tab w:val="left" w:pos="1814"/>
        </w:tabs>
        <w:ind w:left="1814" w:hanging="226"/>
      </w:pPr>
      <w:rPr>
        <w:rFonts w:ascii="Times New Roman" w:hAnsi="Times New Roman" w:cs="Times New Roman" w:hint="default"/>
      </w:rPr>
    </w:lvl>
    <w:lvl w:ilvl="8">
      <w:start w:val="1"/>
      <w:numFmt w:val="bullet"/>
      <w:lvlText w:val="■"/>
      <w:lvlJc w:val="left"/>
      <w:pPr>
        <w:tabs>
          <w:tab w:val="left" w:pos="2041"/>
        </w:tabs>
        <w:ind w:left="2041" w:hanging="227"/>
      </w:pPr>
      <w:rPr>
        <w:rFonts w:ascii="Times New Roman" w:hAnsi="Times New Roman" w:cs="Times New Roman" w:hint="default"/>
      </w:rPr>
    </w:lvl>
  </w:abstractNum>
  <w:abstractNum w:abstractNumId="46" w15:restartNumberingAfterBreak="0">
    <w:nsid w:val="722D05D4"/>
    <w:multiLevelType w:val="multilevel"/>
    <w:tmpl w:val="722D05D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7" w15:restartNumberingAfterBreak="0">
    <w:nsid w:val="735F593D"/>
    <w:multiLevelType w:val="multilevel"/>
    <w:tmpl w:val="735F593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15:restartNumberingAfterBreak="0">
    <w:nsid w:val="757A1132"/>
    <w:multiLevelType w:val="multilevel"/>
    <w:tmpl w:val="757A1132"/>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15:restartNumberingAfterBreak="0">
    <w:nsid w:val="763B199B"/>
    <w:multiLevelType w:val="multilevel"/>
    <w:tmpl w:val="763B199B"/>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0" w15:restartNumberingAfterBreak="0">
    <w:nsid w:val="7738779A"/>
    <w:multiLevelType w:val="multilevel"/>
    <w:tmpl w:val="7738779A"/>
    <w:lvl w:ilvl="0">
      <w:start w:val="1"/>
      <w:numFmt w:val="decimal"/>
      <w:pStyle w:val="heading1"/>
      <w:lvlText w:val="%1."/>
      <w:lvlJc w:val="left"/>
      <w:pPr>
        <w:tabs>
          <w:tab w:val="left" w:pos="567"/>
        </w:tabs>
        <w:ind w:left="567" w:hanging="567"/>
      </w:pPr>
      <w:rPr>
        <w:rFonts w:hint="default"/>
      </w:rPr>
    </w:lvl>
    <w:lvl w:ilvl="1">
      <w:start w:val="1"/>
      <w:numFmt w:val="decimal"/>
      <w:pStyle w:val="heading2"/>
      <w:lvlText w:val="%1.%2"/>
      <w:lvlJc w:val="left"/>
      <w:pPr>
        <w:tabs>
          <w:tab w:val="left" w:pos="567"/>
        </w:tabs>
        <w:ind w:left="567" w:hanging="567"/>
      </w:pPr>
      <w:rPr>
        <w:rFonts w:hint="default"/>
      </w:rPr>
    </w:lvl>
    <w:lvl w:ilvl="2">
      <w:start w:val="1"/>
      <w:numFmt w:val="decimal"/>
      <w:lvlText w:val="%1.%2.%3"/>
      <w:lvlJc w:val="left"/>
      <w:pPr>
        <w:tabs>
          <w:tab w:val="left" w:pos="851"/>
        </w:tabs>
        <w:ind w:left="851" w:hanging="851"/>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64"/>
        </w:tabs>
        <w:ind w:left="964" w:hanging="964"/>
      </w:pPr>
      <w:rPr>
        <w:rFonts w:ascii="Times New Roman" w:hAnsi="Times New Roman" w:hint="default"/>
        <w:b w:val="0"/>
        <w:i/>
        <w:sz w:val="20"/>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1" w15:restartNumberingAfterBreak="0">
    <w:nsid w:val="78540E83"/>
    <w:multiLevelType w:val="multilevel"/>
    <w:tmpl w:val="78540E83"/>
    <w:lvl w:ilvl="0">
      <w:start w:val="4"/>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2" w15:restartNumberingAfterBreak="0">
    <w:nsid w:val="7D9521C8"/>
    <w:multiLevelType w:val="multilevel"/>
    <w:tmpl w:val="7D9521C8"/>
    <w:lvl w:ilvl="0">
      <w:start w:val="1"/>
      <w:numFmt w:val="decimal"/>
      <w:pStyle w:val="referenceitem"/>
      <w:lvlText w:val="%1."/>
      <w:lvlJc w:val="right"/>
      <w:pPr>
        <w:tabs>
          <w:tab w:val="left" w:pos="341"/>
        </w:tabs>
        <w:ind w:left="341" w:hanging="114"/>
      </w:pPr>
      <w:rPr>
        <w:rFonts w:hint="default"/>
      </w:rPr>
    </w:lvl>
    <w:lvl w:ilvl="1">
      <w:start w:val="1"/>
      <w:numFmt w:val="lowerLetter"/>
      <w:lvlText w:val="%2."/>
      <w:lvlJc w:val="left"/>
      <w:pPr>
        <w:tabs>
          <w:tab w:val="left" w:pos="1896"/>
        </w:tabs>
        <w:ind w:left="1896" w:hanging="360"/>
      </w:pPr>
      <w:rPr>
        <w:rFonts w:hint="default"/>
      </w:rPr>
    </w:lvl>
    <w:lvl w:ilvl="2">
      <w:start w:val="1"/>
      <w:numFmt w:val="lowerRoman"/>
      <w:lvlText w:val="%3."/>
      <w:lvlJc w:val="right"/>
      <w:pPr>
        <w:tabs>
          <w:tab w:val="left" w:pos="2616"/>
        </w:tabs>
        <w:ind w:left="2616" w:hanging="180"/>
      </w:pPr>
      <w:rPr>
        <w:rFonts w:hint="default"/>
      </w:rPr>
    </w:lvl>
    <w:lvl w:ilvl="3">
      <w:start w:val="1"/>
      <w:numFmt w:val="decimal"/>
      <w:lvlText w:val="%4."/>
      <w:lvlJc w:val="left"/>
      <w:pPr>
        <w:tabs>
          <w:tab w:val="left" w:pos="3336"/>
        </w:tabs>
        <w:ind w:left="3336" w:hanging="360"/>
      </w:pPr>
      <w:rPr>
        <w:rFonts w:hint="default"/>
      </w:rPr>
    </w:lvl>
    <w:lvl w:ilvl="4">
      <w:start w:val="1"/>
      <w:numFmt w:val="lowerLetter"/>
      <w:lvlText w:val="%5."/>
      <w:lvlJc w:val="left"/>
      <w:pPr>
        <w:tabs>
          <w:tab w:val="left" w:pos="4056"/>
        </w:tabs>
        <w:ind w:left="4056" w:hanging="360"/>
      </w:pPr>
      <w:rPr>
        <w:rFonts w:hint="default"/>
      </w:rPr>
    </w:lvl>
    <w:lvl w:ilvl="5">
      <w:start w:val="1"/>
      <w:numFmt w:val="lowerRoman"/>
      <w:lvlText w:val="%6."/>
      <w:lvlJc w:val="right"/>
      <w:pPr>
        <w:tabs>
          <w:tab w:val="left" w:pos="4776"/>
        </w:tabs>
        <w:ind w:left="4776" w:hanging="180"/>
      </w:pPr>
      <w:rPr>
        <w:rFonts w:hint="default"/>
      </w:rPr>
    </w:lvl>
    <w:lvl w:ilvl="6">
      <w:start w:val="1"/>
      <w:numFmt w:val="decimal"/>
      <w:lvlText w:val="%7."/>
      <w:lvlJc w:val="left"/>
      <w:pPr>
        <w:tabs>
          <w:tab w:val="left" w:pos="5496"/>
        </w:tabs>
        <w:ind w:left="5496" w:hanging="360"/>
      </w:pPr>
      <w:rPr>
        <w:rFonts w:hint="default"/>
      </w:rPr>
    </w:lvl>
    <w:lvl w:ilvl="7">
      <w:start w:val="1"/>
      <w:numFmt w:val="lowerLetter"/>
      <w:lvlText w:val="%8."/>
      <w:lvlJc w:val="left"/>
      <w:pPr>
        <w:tabs>
          <w:tab w:val="left" w:pos="6216"/>
        </w:tabs>
        <w:ind w:left="6216" w:hanging="360"/>
      </w:pPr>
      <w:rPr>
        <w:rFonts w:hint="default"/>
      </w:rPr>
    </w:lvl>
    <w:lvl w:ilvl="8">
      <w:start w:val="1"/>
      <w:numFmt w:val="lowerRoman"/>
      <w:lvlText w:val="%9."/>
      <w:lvlJc w:val="right"/>
      <w:pPr>
        <w:tabs>
          <w:tab w:val="left" w:pos="6936"/>
        </w:tabs>
        <w:ind w:left="6936" w:hanging="180"/>
      </w:pPr>
      <w:rPr>
        <w:rFonts w:hint="default"/>
      </w:rPr>
    </w:lvl>
  </w:abstractNum>
  <w:num w:numId="1" w16cid:durableId="976033672">
    <w:abstractNumId w:val="50"/>
  </w:num>
  <w:num w:numId="2" w16cid:durableId="96682021">
    <w:abstractNumId w:val="45"/>
  </w:num>
  <w:num w:numId="3" w16cid:durableId="1316029407">
    <w:abstractNumId w:val="52"/>
  </w:num>
  <w:num w:numId="4" w16cid:durableId="329330980">
    <w:abstractNumId w:val="26"/>
  </w:num>
  <w:num w:numId="5" w16cid:durableId="1862889412">
    <w:abstractNumId w:val="6"/>
  </w:num>
  <w:num w:numId="6" w16cid:durableId="1207181017">
    <w:abstractNumId w:val="3"/>
  </w:num>
  <w:num w:numId="7" w16cid:durableId="1750036510">
    <w:abstractNumId w:val="12"/>
  </w:num>
  <w:num w:numId="8" w16cid:durableId="1090663973">
    <w:abstractNumId w:val="7"/>
  </w:num>
  <w:num w:numId="9" w16cid:durableId="1759787248">
    <w:abstractNumId w:val="49"/>
  </w:num>
  <w:num w:numId="10" w16cid:durableId="672297360">
    <w:abstractNumId w:val="14"/>
  </w:num>
  <w:num w:numId="11" w16cid:durableId="784813448">
    <w:abstractNumId w:val="15"/>
  </w:num>
  <w:num w:numId="12" w16cid:durableId="996032069">
    <w:abstractNumId w:val="1"/>
  </w:num>
  <w:num w:numId="13" w16cid:durableId="318659383">
    <w:abstractNumId w:val="28"/>
  </w:num>
  <w:num w:numId="14" w16cid:durableId="946624603">
    <w:abstractNumId w:val="30"/>
  </w:num>
  <w:num w:numId="15" w16cid:durableId="1946233036">
    <w:abstractNumId w:val="25"/>
  </w:num>
  <w:num w:numId="16" w16cid:durableId="130487675">
    <w:abstractNumId w:val="42"/>
  </w:num>
  <w:num w:numId="17" w16cid:durableId="1811747880">
    <w:abstractNumId w:val="43"/>
  </w:num>
  <w:num w:numId="18" w16cid:durableId="491677282">
    <w:abstractNumId w:val="33"/>
  </w:num>
  <w:num w:numId="19" w16cid:durableId="23287477">
    <w:abstractNumId w:val="36"/>
  </w:num>
  <w:num w:numId="20" w16cid:durableId="981929612">
    <w:abstractNumId w:val="27"/>
  </w:num>
  <w:num w:numId="21" w16cid:durableId="62681846">
    <w:abstractNumId w:val="46"/>
  </w:num>
  <w:num w:numId="22" w16cid:durableId="1200586575">
    <w:abstractNumId w:val="34"/>
  </w:num>
  <w:num w:numId="23" w16cid:durableId="276067878">
    <w:abstractNumId w:val="24"/>
  </w:num>
  <w:num w:numId="24" w16cid:durableId="250045061">
    <w:abstractNumId w:val="19"/>
  </w:num>
  <w:num w:numId="25" w16cid:durableId="2107312156">
    <w:abstractNumId w:val="2"/>
  </w:num>
  <w:num w:numId="26" w16cid:durableId="828668460">
    <w:abstractNumId w:val="23"/>
  </w:num>
  <w:num w:numId="27" w16cid:durableId="417677634">
    <w:abstractNumId w:val="10"/>
  </w:num>
  <w:num w:numId="28" w16cid:durableId="1989631576">
    <w:abstractNumId w:val="38"/>
  </w:num>
  <w:num w:numId="29" w16cid:durableId="640503459">
    <w:abstractNumId w:val="17"/>
  </w:num>
  <w:num w:numId="30" w16cid:durableId="1819420630">
    <w:abstractNumId w:val="18"/>
  </w:num>
  <w:num w:numId="31" w16cid:durableId="1725787102">
    <w:abstractNumId w:val="11"/>
  </w:num>
  <w:num w:numId="32" w16cid:durableId="1448508085">
    <w:abstractNumId w:val="13"/>
  </w:num>
  <w:num w:numId="33" w16cid:durableId="1149202757">
    <w:abstractNumId w:val="48"/>
  </w:num>
  <w:num w:numId="34" w16cid:durableId="630593993">
    <w:abstractNumId w:val="20"/>
  </w:num>
  <w:num w:numId="35" w16cid:durableId="338198357">
    <w:abstractNumId w:val="51"/>
  </w:num>
  <w:num w:numId="36" w16cid:durableId="1482889041">
    <w:abstractNumId w:val="40"/>
  </w:num>
  <w:num w:numId="37" w16cid:durableId="1337229109">
    <w:abstractNumId w:val="29"/>
  </w:num>
  <w:num w:numId="38" w16cid:durableId="419956237">
    <w:abstractNumId w:val="35"/>
  </w:num>
  <w:num w:numId="39" w16cid:durableId="2006282945">
    <w:abstractNumId w:val="4"/>
  </w:num>
  <w:num w:numId="40" w16cid:durableId="635450995">
    <w:abstractNumId w:val="16"/>
  </w:num>
  <w:num w:numId="41" w16cid:durableId="1995597371">
    <w:abstractNumId w:val="22"/>
  </w:num>
  <w:num w:numId="42" w16cid:durableId="1808275344">
    <w:abstractNumId w:val="31"/>
  </w:num>
  <w:num w:numId="43" w16cid:durableId="1349719599">
    <w:abstractNumId w:val="47"/>
  </w:num>
  <w:num w:numId="44" w16cid:durableId="689840844">
    <w:abstractNumId w:val="44"/>
  </w:num>
  <w:num w:numId="45" w16cid:durableId="353314067">
    <w:abstractNumId w:val="8"/>
  </w:num>
  <w:num w:numId="46" w16cid:durableId="1222446658">
    <w:abstractNumId w:val="9"/>
  </w:num>
  <w:num w:numId="47" w16cid:durableId="1496190490">
    <w:abstractNumId w:val="37"/>
  </w:num>
  <w:num w:numId="48" w16cid:durableId="335152619">
    <w:abstractNumId w:val="39"/>
  </w:num>
  <w:num w:numId="49" w16cid:durableId="2007782259">
    <w:abstractNumId w:val="32"/>
  </w:num>
  <w:num w:numId="50" w16cid:durableId="2014530053">
    <w:abstractNumId w:val="41"/>
  </w:num>
  <w:num w:numId="51" w16cid:durableId="832571185">
    <w:abstractNumId w:val="21"/>
  </w:num>
  <w:num w:numId="52" w16cid:durableId="560794197">
    <w:abstractNumId w:val="0"/>
  </w:num>
  <w:num w:numId="53" w16cid:durableId="1854102870">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ewMDeyMAaSpqbGJko6SsGpxcWZ+XkgBSbGtQB3NM2PLQAAAA=="/>
  </w:docVars>
  <w:rsids>
    <w:rsidRoot w:val="00A442F7"/>
    <w:rsid w:val="000001A8"/>
    <w:rsid w:val="000002AD"/>
    <w:rsid w:val="00000802"/>
    <w:rsid w:val="00000BB8"/>
    <w:rsid w:val="00000C03"/>
    <w:rsid w:val="000012ED"/>
    <w:rsid w:val="0000158A"/>
    <w:rsid w:val="0000221E"/>
    <w:rsid w:val="00002584"/>
    <w:rsid w:val="000026D7"/>
    <w:rsid w:val="00002724"/>
    <w:rsid w:val="00002AB6"/>
    <w:rsid w:val="00002BE4"/>
    <w:rsid w:val="00003089"/>
    <w:rsid w:val="0000360E"/>
    <w:rsid w:val="00003773"/>
    <w:rsid w:val="00003937"/>
    <w:rsid w:val="00003B4C"/>
    <w:rsid w:val="00003C37"/>
    <w:rsid w:val="00003E8D"/>
    <w:rsid w:val="000042E5"/>
    <w:rsid w:val="0000486F"/>
    <w:rsid w:val="00004936"/>
    <w:rsid w:val="00004A81"/>
    <w:rsid w:val="00004EF4"/>
    <w:rsid w:val="000052B4"/>
    <w:rsid w:val="00005439"/>
    <w:rsid w:val="000057E2"/>
    <w:rsid w:val="00005943"/>
    <w:rsid w:val="00005D75"/>
    <w:rsid w:val="00005EB4"/>
    <w:rsid w:val="00005F32"/>
    <w:rsid w:val="00005F99"/>
    <w:rsid w:val="0000606E"/>
    <w:rsid w:val="000063BC"/>
    <w:rsid w:val="000065C6"/>
    <w:rsid w:val="0000676B"/>
    <w:rsid w:val="00006BB1"/>
    <w:rsid w:val="00006E73"/>
    <w:rsid w:val="00006E97"/>
    <w:rsid w:val="00006F8E"/>
    <w:rsid w:val="00007380"/>
    <w:rsid w:val="0000793B"/>
    <w:rsid w:val="00007941"/>
    <w:rsid w:val="00007FD3"/>
    <w:rsid w:val="00010736"/>
    <w:rsid w:val="000107FF"/>
    <w:rsid w:val="0001083D"/>
    <w:rsid w:val="00010D13"/>
    <w:rsid w:val="00011086"/>
    <w:rsid w:val="000115CF"/>
    <w:rsid w:val="000118BE"/>
    <w:rsid w:val="00011C1A"/>
    <w:rsid w:val="00011C3E"/>
    <w:rsid w:val="00011F9D"/>
    <w:rsid w:val="0001230F"/>
    <w:rsid w:val="0001235A"/>
    <w:rsid w:val="000126D8"/>
    <w:rsid w:val="000130D0"/>
    <w:rsid w:val="000132B3"/>
    <w:rsid w:val="0001357A"/>
    <w:rsid w:val="000135BD"/>
    <w:rsid w:val="000138FB"/>
    <w:rsid w:val="00014002"/>
    <w:rsid w:val="00014212"/>
    <w:rsid w:val="00014620"/>
    <w:rsid w:val="00014791"/>
    <w:rsid w:val="00014912"/>
    <w:rsid w:val="00014CF7"/>
    <w:rsid w:val="000159AA"/>
    <w:rsid w:val="00015B5E"/>
    <w:rsid w:val="00015B61"/>
    <w:rsid w:val="00016403"/>
    <w:rsid w:val="000166CD"/>
    <w:rsid w:val="000168E6"/>
    <w:rsid w:val="00016A53"/>
    <w:rsid w:val="00016D11"/>
    <w:rsid w:val="00016D77"/>
    <w:rsid w:val="00016E3D"/>
    <w:rsid w:val="000170D6"/>
    <w:rsid w:val="00017297"/>
    <w:rsid w:val="000178B6"/>
    <w:rsid w:val="00017E7C"/>
    <w:rsid w:val="0002014E"/>
    <w:rsid w:val="0002038E"/>
    <w:rsid w:val="000205F8"/>
    <w:rsid w:val="00020722"/>
    <w:rsid w:val="00020AC7"/>
    <w:rsid w:val="00020E1D"/>
    <w:rsid w:val="00020E26"/>
    <w:rsid w:val="00021322"/>
    <w:rsid w:val="000216EA"/>
    <w:rsid w:val="000219D4"/>
    <w:rsid w:val="00021A02"/>
    <w:rsid w:val="00021CCE"/>
    <w:rsid w:val="00021D78"/>
    <w:rsid w:val="00022441"/>
    <w:rsid w:val="00022729"/>
    <w:rsid w:val="000229C7"/>
    <w:rsid w:val="00022B6F"/>
    <w:rsid w:val="00022D32"/>
    <w:rsid w:val="00022D40"/>
    <w:rsid w:val="00022E5E"/>
    <w:rsid w:val="00023453"/>
    <w:rsid w:val="00023503"/>
    <w:rsid w:val="00023826"/>
    <w:rsid w:val="00023893"/>
    <w:rsid w:val="0002398C"/>
    <w:rsid w:val="000244C1"/>
    <w:rsid w:val="00024A6C"/>
    <w:rsid w:val="00025C3C"/>
    <w:rsid w:val="00025D81"/>
    <w:rsid w:val="00025F3E"/>
    <w:rsid w:val="00026847"/>
    <w:rsid w:val="00026C03"/>
    <w:rsid w:val="00026C54"/>
    <w:rsid w:val="00026D09"/>
    <w:rsid w:val="00026D9B"/>
    <w:rsid w:val="00026F4B"/>
    <w:rsid w:val="0002709B"/>
    <w:rsid w:val="000270AB"/>
    <w:rsid w:val="000271D6"/>
    <w:rsid w:val="0002741D"/>
    <w:rsid w:val="00027A12"/>
    <w:rsid w:val="00027CAF"/>
    <w:rsid w:val="00027DF3"/>
    <w:rsid w:val="000301CF"/>
    <w:rsid w:val="000302FD"/>
    <w:rsid w:val="0003035C"/>
    <w:rsid w:val="00030456"/>
    <w:rsid w:val="00030929"/>
    <w:rsid w:val="00031118"/>
    <w:rsid w:val="0003113A"/>
    <w:rsid w:val="0003156F"/>
    <w:rsid w:val="000315AB"/>
    <w:rsid w:val="000316D8"/>
    <w:rsid w:val="00031991"/>
    <w:rsid w:val="00031A74"/>
    <w:rsid w:val="00031C12"/>
    <w:rsid w:val="00031C8E"/>
    <w:rsid w:val="00031F88"/>
    <w:rsid w:val="0003210E"/>
    <w:rsid w:val="0003254B"/>
    <w:rsid w:val="00032640"/>
    <w:rsid w:val="00032763"/>
    <w:rsid w:val="000327AC"/>
    <w:rsid w:val="00032C1B"/>
    <w:rsid w:val="00032D49"/>
    <w:rsid w:val="00032DB8"/>
    <w:rsid w:val="00032EE3"/>
    <w:rsid w:val="00032F51"/>
    <w:rsid w:val="000335A2"/>
    <w:rsid w:val="0003379A"/>
    <w:rsid w:val="000337C8"/>
    <w:rsid w:val="00033828"/>
    <w:rsid w:val="00033BFA"/>
    <w:rsid w:val="00033E3A"/>
    <w:rsid w:val="000340FB"/>
    <w:rsid w:val="000343FA"/>
    <w:rsid w:val="0003446A"/>
    <w:rsid w:val="000348C0"/>
    <w:rsid w:val="00034E4D"/>
    <w:rsid w:val="000351AB"/>
    <w:rsid w:val="0003524D"/>
    <w:rsid w:val="000352B8"/>
    <w:rsid w:val="0003555B"/>
    <w:rsid w:val="00035661"/>
    <w:rsid w:val="0003570C"/>
    <w:rsid w:val="0003577D"/>
    <w:rsid w:val="0003595A"/>
    <w:rsid w:val="00035BB9"/>
    <w:rsid w:val="00035E63"/>
    <w:rsid w:val="00035EA9"/>
    <w:rsid w:val="00036348"/>
    <w:rsid w:val="000366C0"/>
    <w:rsid w:val="0003681C"/>
    <w:rsid w:val="00036A07"/>
    <w:rsid w:val="00036A0C"/>
    <w:rsid w:val="00036F00"/>
    <w:rsid w:val="00036FDF"/>
    <w:rsid w:val="00037015"/>
    <w:rsid w:val="00037232"/>
    <w:rsid w:val="000372FF"/>
    <w:rsid w:val="000378A4"/>
    <w:rsid w:val="00037D2D"/>
    <w:rsid w:val="00037DF0"/>
    <w:rsid w:val="00037E4A"/>
    <w:rsid w:val="00037E59"/>
    <w:rsid w:val="00037F4D"/>
    <w:rsid w:val="00037F50"/>
    <w:rsid w:val="000400B7"/>
    <w:rsid w:val="00040466"/>
    <w:rsid w:val="00040698"/>
    <w:rsid w:val="00040C75"/>
    <w:rsid w:val="000411B6"/>
    <w:rsid w:val="000411D4"/>
    <w:rsid w:val="000413C5"/>
    <w:rsid w:val="000413C7"/>
    <w:rsid w:val="000415A5"/>
    <w:rsid w:val="000415C8"/>
    <w:rsid w:val="00041750"/>
    <w:rsid w:val="00041D16"/>
    <w:rsid w:val="00041F18"/>
    <w:rsid w:val="000427E3"/>
    <w:rsid w:val="00042810"/>
    <w:rsid w:val="00042887"/>
    <w:rsid w:val="00042A49"/>
    <w:rsid w:val="00042F46"/>
    <w:rsid w:val="000430E4"/>
    <w:rsid w:val="0004329A"/>
    <w:rsid w:val="000438FD"/>
    <w:rsid w:val="00043B73"/>
    <w:rsid w:val="0004441E"/>
    <w:rsid w:val="00044441"/>
    <w:rsid w:val="00044746"/>
    <w:rsid w:val="0004480B"/>
    <w:rsid w:val="00044AEC"/>
    <w:rsid w:val="00044AF7"/>
    <w:rsid w:val="00044CB0"/>
    <w:rsid w:val="000454B9"/>
    <w:rsid w:val="00045B5E"/>
    <w:rsid w:val="000462D9"/>
    <w:rsid w:val="0004633E"/>
    <w:rsid w:val="00046867"/>
    <w:rsid w:val="00046964"/>
    <w:rsid w:val="000469DB"/>
    <w:rsid w:val="00046D3B"/>
    <w:rsid w:val="0004720E"/>
    <w:rsid w:val="000474A6"/>
    <w:rsid w:val="00047A18"/>
    <w:rsid w:val="00047A3D"/>
    <w:rsid w:val="00047E55"/>
    <w:rsid w:val="00047F40"/>
    <w:rsid w:val="000500F2"/>
    <w:rsid w:val="00050303"/>
    <w:rsid w:val="0005075D"/>
    <w:rsid w:val="000509F1"/>
    <w:rsid w:val="00050A56"/>
    <w:rsid w:val="00050B28"/>
    <w:rsid w:val="00050BD3"/>
    <w:rsid w:val="0005166B"/>
    <w:rsid w:val="000517EC"/>
    <w:rsid w:val="00052267"/>
    <w:rsid w:val="00052687"/>
    <w:rsid w:val="0005274B"/>
    <w:rsid w:val="00052F02"/>
    <w:rsid w:val="000535ED"/>
    <w:rsid w:val="000536CF"/>
    <w:rsid w:val="00053DAD"/>
    <w:rsid w:val="00053E09"/>
    <w:rsid w:val="00053F31"/>
    <w:rsid w:val="00054127"/>
    <w:rsid w:val="000542A4"/>
    <w:rsid w:val="00054B35"/>
    <w:rsid w:val="000552EE"/>
    <w:rsid w:val="0005542C"/>
    <w:rsid w:val="000555EE"/>
    <w:rsid w:val="00055BE0"/>
    <w:rsid w:val="00055F0B"/>
    <w:rsid w:val="00055FB1"/>
    <w:rsid w:val="00055FDB"/>
    <w:rsid w:val="00055FE5"/>
    <w:rsid w:val="00056079"/>
    <w:rsid w:val="00056263"/>
    <w:rsid w:val="000562F0"/>
    <w:rsid w:val="00056531"/>
    <w:rsid w:val="000565BB"/>
    <w:rsid w:val="00056B17"/>
    <w:rsid w:val="00056C2B"/>
    <w:rsid w:val="0005705F"/>
    <w:rsid w:val="000575AD"/>
    <w:rsid w:val="00057A51"/>
    <w:rsid w:val="00057A6B"/>
    <w:rsid w:val="00057B0B"/>
    <w:rsid w:val="00060126"/>
    <w:rsid w:val="0006037D"/>
    <w:rsid w:val="00060A07"/>
    <w:rsid w:val="00060CE7"/>
    <w:rsid w:val="00060E70"/>
    <w:rsid w:val="00061344"/>
    <w:rsid w:val="00061437"/>
    <w:rsid w:val="00061D34"/>
    <w:rsid w:val="00061DA2"/>
    <w:rsid w:val="000621D2"/>
    <w:rsid w:val="00062643"/>
    <w:rsid w:val="00063493"/>
    <w:rsid w:val="00063C33"/>
    <w:rsid w:val="00063C74"/>
    <w:rsid w:val="0006431F"/>
    <w:rsid w:val="000643DF"/>
    <w:rsid w:val="000645EA"/>
    <w:rsid w:val="0006467F"/>
    <w:rsid w:val="000648BA"/>
    <w:rsid w:val="00064B72"/>
    <w:rsid w:val="00064D3B"/>
    <w:rsid w:val="000650E1"/>
    <w:rsid w:val="00065945"/>
    <w:rsid w:val="000659FE"/>
    <w:rsid w:val="00065A5A"/>
    <w:rsid w:val="00065B0B"/>
    <w:rsid w:val="00065D2B"/>
    <w:rsid w:val="00065FC8"/>
    <w:rsid w:val="000665F4"/>
    <w:rsid w:val="00066637"/>
    <w:rsid w:val="00066688"/>
    <w:rsid w:val="00066948"/>
    <w:rsid w:val="00066D31"/>
    <w:rsid w:val="0006708F"/>
    <w:rsid w:val="00067542"/>
    <w:rsid w:val="00067941"/>
    <w:rsid w:val="00067D97"/>
    <w:rsid w:val="00067EE9"/>
    <w:rsid w:val="000704DD"/>
    <w:rsid w:val="00070DC1"/>
    <w:rsid w:val="0007133F"/>
    <w:rsid w:val="000717FE"/>
    <w:rsid w:val="00071D5B"/>
    <w:rsid w:val="00071EBA"/>
    <w:rsid w:val="00072349"/>
    <w:rsid w:val="0007252B"/>
    <w:rsid w:val="000727EC"/>
    <w:rsid w:val="00072C35"/>
    <w:rsid w:val="00072D31"/>
    <w:rsid w:val="00072D89"/>
    <w:rsid w:val="00072F25"/>
    <w:rsid w:val="000730B7"/>
    <w:rsid w:val="000734C3"/>
    <w:rsid w:val="000739E7"/>
    <w:rsid w:val="00073AC5"/>
    <w:rsid w:val="00073C43"/>
    <w:rsid w:val="00073EA1"/>
    <w:rsid w:val="00073F12"/>
    <w:rsid w:val="00073FF4"/>
    <w:rsid w:val="00074049"/>
    <w:rsid w:val="00074062"/>
    <w:rsid w:val="00074465"/>
    <w:rsid w:val="000747A6"/>
    <w:rsid w:val="00074881"/>
    <w:rsid w:val="00074BC6"/>
    <w:rsid w:val="00074DCF"/>
    <w:rsid w:val="00075325"/>
    <w:rsid w:val="00075331"/>
    <w:rsid w:val="0007556C"/>
    <w:rsid w:val="000757AD"/>
    <w:rsid w:val="00075DC0"/>
    <w:rsid w:val="00076091"/>
    <w:rsid w:val="00076198"/>
    <w:rsid w:val="000762E3"/>
    <w:rsid w:val="000762EE"/>
    <w:rsid w:val="00076313"/>
    <w:rsid w:val="0007667D"/>
    <w:rsid w:val="00076735"/>
    <w:rsid w:val="000767D0"/>
    <w:rsid w:val="00076978"/>
    <w:rsid w:val="00076DEF"/>
    <w:rsid w:val="00076ED7"/>
    <w:rsid w:val="00077075"/>
    <w:rsid w:val="00077859"/>
    <w:rsid w:val="00077991"/>
    <w:rsid w:val="00077DF3"/>
    <w:rsid w:val="00077FA6"/>
    <w:rsid w:val="0008040D"/>
    <w:rsid w:val="0008057E"/>
    <w:rsid w:val="000809E8"/>
    <w:rsid w:val="00080DA6"/>
    <w:rsid w:val="0008109A"/>
    <w:rsid w:val="000813D6"/>
    <w:rsid w:val="000813D8"/>
    <w:rsid w:val="00081669"/>
    <w:rsid w:val="0008167F"/>
    <w:rsid w:val="00081A5B"/>
    <w:rsid w:val="00081B8B"/>
    <w:rsid w:val="00081BC2"/>
    <w:rsid w:val="00081C94"/>
    <w:rsid w:val="00081F72"/>
    <w:rsid w:val="00082392"/>
    <w:rsid w:val="00082673"/>
    <w:rsid w:val="000827B6"/>
    <w:rsid w:val="00082B82"/>
    <w:rsid w:val="00082EFB"/>
    <w:rsid w:val="00082FC9"/>
    <w:rsid w:val="0008303A"/>
    <w:rsid w:val="00083285"/>
    <w:rsid w:val="0008341D"/>
    <w:rsid w:val="000835BD"/>
    <w:rsid w:val="0008383B"/>
    <w:rsid w:val="00083BC4"/>
    <w:rsid w:val="00083D49"/>
    <w:rsid w:val="00083D68"/>
    <w:rsid w:val="00083EB7"/>
    <w:rsid w:val="000840A8"/>
    <w:rsid w:val="00084A40"/>
    <w:rsid w:val="00084BA3"/>
    <w:rsid w:val="00084C7D"/>
    <w:rsid w:val="00085100"/>
    <w:rsid w:val="0008534E"/>
    <w:rsid w:val="0008538E"/>
    <w:rsid w:val="0008551B"/>
    <w:rsid w:val="00085851"/>
    <w:rsid w:val="00085BAB"/>
    <w:rsid w:val="00085C0F"/>
    <w:rsid w:val="00085F5C"/>
    <w:rsid w:val="0008603C"/>
    <w:rsid w:val="000867FB"/>
    <w:rsid w:val="00086939"/>
    <w:rsid w:val="00086CED"/>
    <w:rsid w:val="00086DD8"/>
    <w:rsid w:val="000871A2"/>
    <w:rsid w:val="00087409"/>
    <w:rsid w:val="0008745F"/>
    <w:rsid w:val="0008750F"/>
    <w:rsid w:val="0008761D"/>
    <w:rsid w:val="000877A2"/>
    <w:rsid w:val="00087864"/>
    <w:rsid w:val="000879FD"/>
    <w:rsid w:val="00087A32"/>
    <w:rsid w:val="00087EC4"/>
    <w:rsid w:val="0009049E"/>
    <w:rsid w:val="000904ED"/>
    <w:rsid w:val="000910AD"/>
    <w:rsid w:val="000912C4"/>
    <w:rsid w:val="0009150A"/>
    <w:rsid w:val="000916A4"/>
    <w:rsid w:val="00091748"/>
    <w:rsid w:val="0009189E"/>
    <w:rsid w:val="000919CA"/>
    <w:rsid w:val="00091D7B"/>
    <w:rsid w:val="00092295"/>
    <w:rsid w:val="000927F8"/>
    <w:rsid w:val="00092D64"/>
    <w:rsid w:val="00092ECE"/>
    <w:rsid w:val="00092F0C"/>
    <w:rsid w:val="000934FB"/>
    <w:rsid w:val="0009363A"/>
    <w:rsid w:val="00093818"/>
    <w:rsid w:val="00093B2A"/>
    <w:rsid w:val="00093F9C"/>
    <w:rsid w:val="0009401F"/>
    <w:rsid w:val="0009437B"/>
    <w:rsid w:val="000944D0"/>
    <w:rsid w:val="00094661"/>
    <w:rsid w:val="00094731"/>
    <w:rsid w:val="00094A32"/>
    <w:rsid w:val="00094BC3"/>
    <w:rsid w:val="00094D80"/>
    <w:rsid w:val="000957AB"/>
    <w:rsid w:val="00095AEB"/>
    <w:rsid w:val="000960BB"/>
    <w:rsid w:val="0009652B"/>
    <w:rsid w:val="00096D63"/>
    <w:rsid w:val="00096D7F"/>
    <w:rsid w:val="00096ED1"/>
    <w:rsid w:val="00097011"/>
    <w:rsid w:val="000970A2"/>
    <w:rsid w:val="000971BD"/>
    <w:rsid w:val="000972DD"/>
    <w:rsid w:val="0009740E"/>
    <w:rsid w:val="000974AA"/>
    <w:rsid w:val="000974DF"/>
    <w:rsid w:val="00097744"/>
    <w:rsid w:val="00097AF3"/>
    <w:rsid w:val="00097B85"/>
    <w:rsid w:val="00097D93"/>
    <w:rsid w:val="00097EB9"/>
    <w:rsid w:val="00097EE0"/>
    <w:rsid w:val="000A00A0"/>
    <w:rsid w:val="000A0671"/>
    <w:rsid w:val="000A06A8"/>
    <w:rsid w:val="000A0858"/>
    <w:rsid w:val="000A08C9"/>
    <w:rsid w:val="000A08E5"/>
    <w:rsid w:val="000A105B"/>
    <w:rsid w:val="000A10EB"/>
    <w:rsid w:val="000A16E3"/>
    <w:rsid w:val="000A1F7F"/>
    <w:rsid w:val="000A2555"/>
    <w:rsid w:val="000A2E5B"/>
    <w:rsid w:val="000A3013"/>
    <w:rsid w:val="000A31A6"/>
    <w:rsid w:val="000A3CC0"/>
    <w:rsid w:val="000A3D75"/>
    <w:rsid w:val="000A3FDF"/>
    <w:rsid w:val="000A46EE"/>
    <w:rsid w:val="000A474F"/>
    <w:rsid w:val="000A4AC1"/>
    <w:rsid w:val="000A4DD2"/>
    <w:rsid w:val="000A4F18"/>
    <w:rsid w:val="000A506E"/>
    <w:rsid w:val="000A510A"/>
    <w:rsid w:val="000A51A1"/>
    <w:rsid w:val="000A52B1"/>
    <w:rsid w:val="000A5A3A"/>
    <w:rsid w:val="000A5B67"/>
    <w:rsid w:val="000A6100"/>
    <w:rsid w:val="000A6363"/>
    <w:rsid w:val="000A65FD"/>
    <w:rsid w:val="000A66EB"/>
    <w:rsid w:val="000A67DA"/>
    <w:rsid w:val="000A67DB"/>
    <w:rsid w:val="000A68BD"/>
    <w:rsid w:val="000A6B31"/>
    <w:rsid w:val="000A6D35"/>
    <w:rsid w:val="000A6E95"/>
    <w:rsid w:val="000A70EF"/>
    <w:rsid w:val="000A7210"/>
    <w:rsid w:val="000A74C4"/>
    <w:rsid w:val="000A7524"/>
    <w:rsid w:val="000A7828"/>
    <w:rsid w:val="000A7D19"/>
    <w:rsid w:val="000A7DA7"/>
    <w:rsid w:val="000A7E18"/>
    <w:rsid w:val="000B00A2"/>
    <w:rsid w:val="000B00B7"/>
    <w:rsid w:val="000B01B0"/>
    <w:rsid w:val="000B035C"/>
    <w:rsid w:val="000B0713"/>
    <w:rsid w:val="000B079E"/>
    <w:rsid w:val="000B09BA"/>
    <w:rsid w:val="000B0F6C"/>
    <w:rsid w:val="000B16EB"/>
    <w:rsid w:val="000B18A0"/>
    <w:rsid w:val="000B1B5A"/>
    <w:rsid w:val="000B1D0D"/>
    <w:rsid w:val="000B1F0F"/>
    <w:rsid w:val="000B208E"/>
    <w:rsid w:val="000B2556"/>
    <w:rsid w:val="000B2682"/>
    <w:rsid w:val="000B2851"/>
    <w:rsid w:val="000B28C6"/>
    <w:rsid w:val="000B2D7E"/>
    <w:rsid w:val="000B2E59"/>
    <w:rsid w:val="000B34BC"/>
    <w:rsid w:val="000B3B13"/>
    <w:rsid w:val="000B3FB0"/>
    <w:rsid w:val="000B47C4"/>
    <w:rsid w:val="000B47E8"/>
    <w:rsid w:val="000B506C"/>
    <w:rsid w:val="000B562B"/>
    <w:rsid w:val="000B5CF2"/>
    <w:rsid w:val="000B5D55"/>
    <w:rsid w:val="000B5D9B"/>
    <w:rsid w:val="000B5F3F"/>
    <w:rsid w:val="000B62DF"/>
    <w:rsid w:val="000B7229"/>
    <w:rsid w:val="000B726B"/>
    <w:rsid w:val="000B72F7"/>
    <w:rsid w:val="000B7348"/>
    <w:rsid w:val="000B7A8A"/>
    <w:rsid w:val="000B7B0B"/>
    <w:rsid w:val="000B7CCF"/>
    <w:rsid w:val="000B7D08"/>
    <w:rsid w:val="000C00B3"/>
    <w:rsid w:val="000C0145"/>
    <w:rsid w:val="000C04F2"/>
    <w:rsid w:val="000C07CB"/>
    <w:rsid w:val="000C084A"/>
    <w:rsid w:val="000C0CEE"/>
    <w:rsid w:val="000C139D"/>
    <w:rsid w:val="000C151E"/>
    <w:rsid w:val="000C1944"/>
    <w:rsid w:val="000C20F1"/>
    <w:rsid w:val="000C22BA"/>
    <w:rsid w:val="000C2446"/>
    <w:rsid w:val="000C2480"/>
    <w:rsid w:val="000C2800"/>
    <w:rsid w:val="000C2BA9"/>
    <w:rsid w:val="000C2BAE"/>
    <w:rsid w:val="000C2C87"/>
    <w:rsid w:val="000C2EFC"/>
    <w:rsid w:val="000C300F"/>
    <w:rsid w:val="000C3243"/>
    <w:rsid w:val="000C3436"/>
    <w:rsid w:val="000C3581"/>
    <w:rsid w:val="000C3CD3"/>
    <w:rsid w:val="000C3E27"/>
    <w:rsid w:val="000C41DD"/>
    <w:rsid w:val="000C459F"/>
    <w:rsid w:val="000C4880"/>
    <w:rsid w:val="000C4CA6"/>
    <w:rsid w:val="000C4F2F"/>
    <w:rsid w:val="000C4F94"/>
    <w:rsid w:val="000C5593"/>
    <w:rsid w:val="000C5A0F"/>
    <w:rsid w:val="000C6326"/>
    <w:rsid w:val="000C64FC"/>
    <w:rsid w:val="000C65B1"/>
    <w:rsid w:val="000C65DF"/>
    <w:rsid w:val="000C68F3"/>
    <w:rsid w:val="000C6A5F"/>
    <w:rsid w:val="000C7379"/>
    <w:rsid w:val="000C739C"/>
    <w:rsid w:val="000C7574"/>
    <w:rsid w:val="000C7751"/>
    <w:rsid w:val="000C797E"/>
    <w:rsid w:val="000C7C23"/>
    <w:rsid w:val="000C7E84"/>
    <w:rsid w:val="000D00F8"/>
    <w:rsid w:val="000D02C6"/>
    <w:rsid w:val="000D0385"/>
    <w:rsid w:val="000D04CA"/>
    <w:rsid w:val="000D0730"/>
    <w:rsid w:val="000D0785"/>
    <w:rsid w:val="000D0880"/>
    <w:rsid w:val="000D0A20"/>
    <w:rsid w:val="000D0B62"/>
    <w:rsid w:val="000D0DB1"/>
    <w:rsid w:val="000D0F0C"/>
    <w:rsid w:val="000D1097"/>
    <w:rsid w:val="000D1258"/>
    <w:rsid w:val="000D14AE"/>
    <w:rsid w:val="000D1588"/>
    <w:rsid w:val="000D16B0"/>
    <w:rsid w:val="000D18D7"/>
    <w:rsid w:val="000D1B14"/>
    <w:rsid w:val="000D1EE2"/>
    <w:rsid w:val="000D1FB4"/>
    <w:rsid w:val="000D2404"/>
    <w:rsid w:val="000D24EE"/>
    <w:rsid w:val="000D280B"/>
    <w:rsid w:val="000D2EF1"/>
    <w:rsid w:val="000D2FFC"/>
    <w:rsid w:val="000D3388"/>
    <w:rsid w:val="000D3D3F"/>
    <w:rsid w:val="000D407C"/>
    <w:rsid w:val="000D4221"/>
    <w:rsid w:val="000D4301"/>
    <w:rsid w:val="000D43E1"/>
    <w:rsid w:val="000D4424"/>
    <w:rsid w:val="000D49EA"/>
    <w:rsid w:val="000D4A78"/>
    <w:rsid w:val="000D4D25"/>
    <w:rsid w:val="000D4F2C"/>
    <w:rsid w:val="000D4F64"/>
    <w:rsid w:val="000D525A"/>
    <w:rsid w:val="000D536B"/>
    <w:rsid w:val="000D5AFC"/>
    <w:rsid w:val="000D5C00"/>
    <w:rsid w:val="000D5C10"/>
    <w:rsid w:val="000D6032"/>
    <w:rsid w:val="000D61C2"/>
    <w:rsid w:val="000D6579"/>
    <w:rsid w:val="000D6A33"/>
    <w:rsid w:val="000D6B24"/>
    <w:rsid w:val="000D7069"/>
    <w:rsid w:val="000D70F1"/>
    <w:rsid w:val="000D715D"/>
    <w:rsid w:val="000D728C"/>
    <w:rsid w:val="000D7586"/>
    <w:rsid w:val="000D7680"/>
    <w:rsid w:val="000D7877"/>
    <w:rsid w:val="000D7A8A"/>
    <w:rsid w:val="000D7CAA"/>
    <w:rsid w:val="000E034F"/>
    <w:rsid w:val="000E0551"/>
    <w:rsid w:val="000E05FA"/>
    <w:rsid w:val="000E069D"/>
    <w:rsid w:val="000E0797"/>
    <w:rsid w:val="000E0ADF"/>
    <w:rsid w:val="000E0B8C"/>
    <w:rsid w:val="000E14F2"/>
    <w:rsid w:val="000E1997"/>
    <w:rsid w:val="000E1B82"/>
    <w:rsid w:val="000E1BD1"/>
    <w:rsid w:val="000E1F6F"/>
    <w:rsid w:val="000E2228"/>
    <w:rsid w:val="000E2B5C"/>
    <w:rsid w:val="000E2BC4"/>
    <w:rsid w:val="000E2DEA"/>
    <w:rsid w:val="000E3260"/>
    <w:rsid w:val="000E327E"/>
    <w:rsid w:val="000E353A"/>
    <w:rsid w:val="000E3A1E"/>
    <w:rsid w:val="000E3C15"/>
    <w:rsid w:val="000E3C5E"/>
    <w:rsid w:val="000E40E6"/>
    <w:rsid w:val="000E41B6"/>
    <w:rsid w:val="000E4340"/>
    <w:rsid w:val="000E4B8A"/>
    <w:rsid w:val="000E4DD7"/>
    <w:rsid w:val="000E5285"/>
    <w:rsid w:val="000E52B2"/>
    <w:rsid w:val="000E52C3"/>
    <w:rsid w:val="000E59D2"/>
    <w:rsid w:val="000E5C16"/>
    <w:rsid w:val="000E5E08"/>
    <w:rsid w:val="000E6314"/>
    <w:rsid w:val="000E651A"/>
    <w:rsid w:val="000E6815"/>
    <w:rsid w:val="000E6835"/>
    <w:rsid w:val="000E6A47"/>
    <w:rsid w:val="000E6B2E"/>
    <w:rsid w:val="000E6F00"/>
    <w:rsid w:val="000E70D8"/>
    <w:rsid w:val="000E7572"/>
    <w:rsid w:val="000E765A"/>
    <w:rsid w:val="000E774B"/>
    <w:rsid w:val="000E78D5"/>
    <w:rsid w:val="000E7AFD"/>
    <w:rsid w:val="000E7FF3"/>
    <w:rsid w:val="000F03EC"/>
    <w:rsid w:val="000F0675"/>
    <w:rsid w:val="000F0AC7"/>
    <w:rsid w:val="000F0C7C"/>
    <w:rsid w:val="000F125E"/>
    <w:rsid w:val="000F199B"/>
    <w:rsid w:val="000F19C7"/>
    <w:rsid w:val="000F1CAD"/>
    <w:rsid w:val="000F1DB2"/>
    <w:rsid w:val="000F20C0"/>
    <w:rsid w:val="000F25D2"/>
    <w:rsid w:val="000F2738"/>
    <w:rsid w:val="000F27E0"/>
    <w:rsid w:val="000F2DA6"/>
    <w:rsid w:val="000F2E4C"/>
    <w:rsid w:val="000F2F70"/>
    <w:rsid w:val="000F32FC"/>
    <w:rsid w:val="000F3545"/>
    <w:rsid w:val="000F39F1"/>
    <w:rsid w:val="000F3A94"/>
    <w:rsid w:val="000F3AA3"/>
    <w:rsid w:val="000F3C2C"/>
    <w:rsid w:val="000F418F"/>
    <w:rsid w:val="000F4374"/>
    <w:rsid w:val="000F465F"/>
    <w:rsid w:val="000F4874"/>
    <w:rsid w:val="000F48AB"/>
    <w:rsid w:val="000F4AFB"/>
    <w:rsid w:val="000F4D82"/>
    <w:rsid w:val="000F53E7"/>
    <w:rsid w:val="000F56A9"/>
    <w:rsid w:val="000F5858"/>
    <w:rsid w:val="000F598D"/>
    <w:rsid w:val="000F5B0C"/>
    <w:rsid w:val="000F5E71"/>
    <w:rsid w:val="000F606F"/>
    <w:rsid w:val="000F6146"/>
    <w:rsid w:val="000F661F"/>
    <w:rsid w:val="000F6844"/>
    <w:rsid w:val="000F687E"/>
    <w:rsid w:val="000F6AC1"/>
    <w:rsid w:val="000F6B43"/>
    <w:rsid w:val="000F6E30"/>
    <w:rsid w:val="000F6EED"/>
    <w:rsid w:val="000F70D2"/>
    <w:rsid w:val="000F757F"/>
    <w:rsid w:val="000F7937"/>
    <w:rsid w:val="000F7C15"/>
    <w:rsid w:val="000F7C85"/>
    <w:rsid w:val="000F7E69"/>
    <w:rsid w:val="000F7ECF"/>
    <w:rsid w:val="000F7ED8"/>
    <w:rsid w:val="000F7FE0"/>
    <w:rsid w:val="00100090"/>
    <w:rsid w:val="00100907"/>
    <w:rsid w:val="00100A5A"/>
    <w:rsid w:val="00100B24"/>
    <w:rsid w:val="00100DD8"/>
    <w:rsid w:val="00101080"/>
    <w:rsid w:val="0010142A"/>
    <w:rsid w:val="0010181A"/>
    <w:rsid w:val="00101914"/>
    <w:rsid w:val="001019B3"/>
    <w:rsid w:val="00102107"/>
    <w:rsid w:val="0010212D"/>
    <w:rsid w:val="00102A18"/>
    <w:rsid w:val="00102A6A"/>
    <w:rsid w:val="00102DCF"/>
    <w:rsid w:val="00102EAC"/>
    <w:rsid w:val="00102FAC"/>
    <w:rsid w:val="00103672"/>
    <w:rsid w:val="00103740"/>
    <w:rsid w:val="00103A21"/>
    <w:rsid w:val="00103AF8"/>
    <w:rsid w:val="001045FB"/>
    <w:rsid w:val="00104625"/>
    <w:rsid w:val="001047A7"/>
    <w:rsid w:val="00104886"/>
    <w:rsid w:val="00104D04"/>
    <w:rsid w:val="00105237"/>
    <w:rsid w:val="001053D7"/>
    <w:rsid w:val="001053F6"/>
    <w:rsid w:val="001054DD"/>
    <w:rsid w:val="001056DC"/>
    <w:rsid w:val="0010581D"/>
    <w:rsid w:val="00105E06"/>
    <w:rsid w:val="00107281"/>
    <w:rsid w:val="001072EB"/>
    <w:rsid w:val="0010756C"/>
    <w:rsid w:val="0010763A"/>
    <w:rsid w:val="00107757"/>
    <w:rsid w:val="00110034"/>
    <w:rsid w:val="001105BB"/>
    <w:rsid w:val="001105DF"/>
    <w:rsid w:val="00110D52"/>
    <w:rsid w:val="00110FBA"/>
    <w:rsid w:val="001112AB"/>
    <w:rsid w:val="00111341"/>
    <w:rsid w:val="001117A2"/>
    <w:rsid w:val="00111A69"/>
    <w:rsid w:val="00111A97"/>
    <w:rsid w:val="00111CD1"/>
    <w:rsid w:val="0011201E"/>
    <w:rsid w:val="001122A4"/>
    <w:rsid w:val="0011252C"/>
    <w:rsid w:val="0011257C"/>
    <w:rsid w:val="001129EA"/>
    <w:rsid w:val="00112DA8"/>
    <w:rsid w:val="00112E52"/>
    <w:rsid w:val="00112EFD"/>
    <w:rsid w:val="001130EE"/>
    <w:rsid w:val="0011355A"/>
    <w:rsid w:val="00113842"/>
    <w:rsid w:val="0011430B"/>
    <w:rsid w:val="001144F1"/>
    <w:rsid w:val="00114578"/>
    <w:rsid w:val="001150BC"/>
    <w:rsid w:val="00115E72"/>
    <w:rsid w:val="001164F2"/>
    <w:rsid w:val="001165CD"/>
    <w:rsid w:val="00116A19"/>
    <w:rsid w:val="00116B05"/>
    <w:rsid w:val="00116C17"/>
    <w:rsid w:val="00117088"/>
    <w:rsid w:val="00117194"/>
    <w:rsid w:val="001178CF"/>
    <w:rsid w:val="00117A28"/>
    <w:rsid w:val="00117CE1"/>
    <w:rsid w:val="001201F2"/>
    <w:rsid w:val="001208FA"/>
    <w:rsid w:val="0012092B"/>
    <w:rsid w:val="0012097B"/>
    <w:rsid w:val="001210F3"/>
    <w:rsid w:val="00121854"/>
    <w:rsid w:val="00121B8C"/>
    <w:rsid w:val="00121BB3"/>
    <w:rsid w:val="0012245E"/>
    <w:rsid w:val="001228CD"/>
    <w:rsid w:val="00122DCE"/>
    <w:rsid w:val="001234B2"/>
    <w:rsid w:val="001234CC"/>
    <w:rsid w:val="00123D57"/>
    <w:rsid w:val="00123D9A"/>
    <w:rsid w:val="00123DF5"/>
    <w:rsid w:val="0012420D"/>
    <w:rsid w:val="00124593"/>
    <w:rsid w:val="001247A3"/>
    <w:rsid w:val="00124872"/>
    <w:rsid w:val="0012488E"/>
    <w:rsid w:val="001248AC"/>
    <w:rsid w:val="00124A15"/>
    <w:rsid w:val="00124B74"/>
    <w:rsid w:val="00124C66"/>
    <w:rsid w:val="00125194"/>
    <w:rsid w:val="001254A7"/>
    <w:rsid w:val="00125622"/>
    <w:rsid w:val="0012568A"/>
    <w:rsid w:val="00125DA2"/>
    <w:rsid w:val="00125DA8"/>
    <w:rsid w:val="00125F40"/>
    <w:rsid w:val="001267ED"/>
    <w:rsid w:val="001268C2"/>
    <w:rsid w:val="00126A03"/>
    <w:rsid w:val="0012701A"/>
    <w:rsid w:val="001278AF"/>
    <w:rsid w:val="00127B80"/>
    <w:rsid w:val="00127F26"/>
    <w:rsid w:val="00130476"/>
    <w:rsid w:val="0013095A"/>
    <w:rsid w:val="001309E9"/>
    <w:rsid w:val="00131094"/>
    <w:rsid w:val="0013115E"/>
    <w:rsid w:val="00131559"/>
    <w:rsid w:val="00131C5F"/>
    <w:rsid w:val="00131ECF"/>
    <w:rsid w:val="00131F37"/>
    <w:rsid w:val="0013223C"/>
    <w:rsid w:val="00132379"/>
    <w:rsid w:val="00132645"/>
    <w:rsid w:val="001337F8"/>
    <w:rsid w:val="0013392E"/>
    <w:rsid w:val="00133CCC"/>
    <w:rsid w:val="00133E24"/>
    <w:rsid w:val="00134098"/>
    <w:rsid w:val="00134510"/>
    <w:rsid w:val="00134837"/>
    <w:rsid w:val="001348DA"/>
    <w:rsid w:val="00134C3D"/>
    <w:rsid w:val="001352DC"/>
    <w:rsid w:val="00135998"/>
    <w:rsid w:val="00135B67"/>
    <w:rsid w:val="0013620A"/>
    <w:rsid w:val="0013653D"/>
    <w:rsid w:val="0013667E"/>
    <w:rsid w:val="00136BED"/>
    <w:rsid w:val="00136C38"/>
    <w:rsid w:val="00136C93"/>
    <w:rsid w:val="00136DD3"/>
    <w:rsid w:val="00136FBD"/>
    <w:rsid w:val="001370CE"/>
    <w:rsid w:val="00137409"/>
    <w:rsid w:val="0013746F"/>
    <w:rsid w:val="0013786E"/>
    <w:rsid w:val="001378E7"/>
    <w:rsid w:val="001379BD"/>
    <w:rsid w:val="00137A6D"/>
    <w:rsid w:val="00137FF7"/>
    <w:rsid w:val="001406C4"/>
    <w:rsid w:val="00140882"/>
    <w:rsid w:val="001408A4"/>
    <w:rsid w:val="00140C1F"/>
    <w:rsid w:val="00141828"/>
    <w:rsid w:val="0014190E"/>
    <w:rsid w:val="00141C28"/>
    <w:rsid w:val="00141CB9"/>
    <w:rsid w:val="00141ECE"/>
    <w:rsid w:val="00142229"/>
    <w:rsid w:val="0014237F"/>
    <w:rsid w:val="0014257A"/>
    <w:rsid w:val="00142983"/>
    <w:rsid w:val="00142A53"/>
    <w:rsid w:val="00142ACC"/>
    <w:rsid w:val="00142C6A"/>
    <w:rsid w:val="00142E8F"/>
    <w:rsid w:val="00143195"/>
    <w:rsid w:val="00143225"/>
    <w:rsid w:val="00143486"/>
    <w:rsid w:val="00143E39"/>
    <w:rsid w:val="00144112"/>
    <w:rsid w:val="001445BA"/>
    <w:rsid w:val="00144649"/>
    <w:rsid w:val="00144761"/>
    <w:rsid w:val="00144C99"/>
    <w:rsid w:val="00144D34"/>
    <w:rsid w:val="00144F33"/>
    <w:rsid w:val="0014541E"/>
    <w:rsid w:val="0014563E"/>
    <w:rsid w:val="00145EDA"/>
    <w:rsid w:val="0014607B"/>
    <w:rsid w:val="0014609F"/>
    <w:rsid w:val="0014634C"/>
    <w:rsid w:val="00146721"/>
    <w:rsid w:val="001468B4"/>
    <w:rsid w:val="00146C52"/>
    <w:rsid w:val="00146D26"/>
    <w:rsid w:val="00147837"/>
    <w:rsid w:val="00147A09"/>
    <w:rsid w:val="00147B0F"/>
    <w:rsid w:val="00147BB5"/>
    <w:rsid w:val="00147CB3"/>
    <w:rsid w:val="00147EB8"/>
    <w:rsid w:val="001505DC"/>
    <w:rsid w:val="00150A79"/>
    <w:rsid w:val="00150AEB"/>
    <w:rsid w:val="00150B63"/>
    <w:rsid w:val="00150CD4"/>
    <w:rsid w:val="001510C6"/>
    <w:rsid w:val="001513C1"/>
    <w:rsid w:val="0015147A"/>
    <w:rsid w:val="00151821"/>
    <w:rsid w:val="0015265D"/>
    <w:rsid w:val="00152C66"/>
    <w:rsid w:val="00152C69"/>
    <w:rsid w:val="00152CFD"/>
    <w:rsid w:val="0015304A"/>
    <w:rsid w:val="00153151"/>
    <w:rsid w:val="001533D6"/>
    <w:rsid w:val="00153554"/>
    <w:rsid w:val="00153720"/>
    <w:rsid w:val="00153A25"/>
    <w:rsid w:val="00153A98"/>
    <w:rsid w:val="00153B26"/>
    <w:rsid w:val="00153BF0"/>
    <w:rsid w:val="00153F94"/>
    <w:rsid w:val="00154191"/>
    <w:rsid w:val="0015479C"/>
    <w:rsid w:val="00154D53"/>
    <w:rsid w:val="001550E9"/>
    <w:rsid w:val="0015525A"/>
    <w:rsid w:val="0015587D"/>
    <w:rsid w:val="00155ADA"/>
    <w:rsid w:val="00156118"/>
    <w:rsid w:val="00156382"/>
    <w:rsid w:val="0015643A"/>
    <w:rsid w:val="00156568"/>
    <w:rsid w:val="00156709"/>
    <w:rsid w:val="00156929"/>
    <w:rsid w:val="001569BD"/>
    <w:rsid w:val="00156E61"/>
    <w:rsid w:val="0015723C"/>
    <w:rsid w:val="00157F73"/>
    <w:rsid w:val="0016014E"/>
    <w:rsid w:val="00160366"/>
    <w:rsid w:val="0016042C"/>
    <w:rsid w:val="00160499"/>
    <w:rsid w:val="00160E6C"/>
    <w:rsid w:val="00161556"/>
    <w:rsid w:val="00161565"/>
    <w:rsid w:val="00161811"/>
    <w:rsid w:val="00161B53"/>
    <w:rsid w:val="00161C0E"/>
    <w:rsid w:val="0016215D"/>
    <w:rsid w:val="00162243"/>
    <w:rsid w:val="001624DB"/>
    <w:rsid w:val="001624F3"/>
    <w:rsid w:val="001628A8"/>
    <w:rsid w:val="00162BBC"/>
    <w:rsid w:val="001630AD"/>
    <w:rsid w:val="00163116"/>
    <w:rsid w:val="001631C1"/>
    <w:rsid w:val="001632FC"/>
    <w:rsid w:val="001637BD"/>
    <w:rsid w:val="001638FF"/>
    <w:rsid w:val="00164020"/>
    <w:rsid w:val="001642C7"/>
    <w:rsid w:val="0016470A"/>
    <w:rsid w:val="00164761"/>
    <w:rsid w:val="001649BE"/>
    <w:rsid w:val="00164AEE"/>
    <w:rsid w:val="0016548F"/>
    <w:rsid w:val="0016580F"/>
    <w:rsid w:val="001659DF"/>
    <w:rsid w:val="00165BAE"/>
    <w:rsid w:val="00165F86"/>
    <w:rsid w:val="00166295"/>
    <w:rsid w:val="00166315"/>
    <w:rsid w:val="0016707C"/>
    <w:rsid w:val="001670AD"/>
    <w:rsid w:val="001671AC"/>
    <w:rsid w:val="001672BB"/>
    <w:rsid w:val="00167391"/>
    <w:rsid w:val="00167A03"/>
    <w:rsid w:val="00167A51"/>
    <w:rsid w:val="00170159"/>
    <w:rsid w:val="0017030D"/>
    <w:rsid w:val="00170648"/>
    <w:rsid w:val="001707B5"/>
    <w:rsid w:val="00170B59"/>
    <w:rsid w:val="00171161"/>
    <w:rsid w:val="0017145B"/>
    <w:rsid w:val="0017175F"/>
    <w:rsid w:val="00171B0E"/>
    <w:rsid w:val="00171B2A"/>
    <w:rsid w:val="0017220B"/>
    <w:rsid w:val="00172340"/>
    <w:rsid w:val="001724C5"/>
    <w:rsid w:val="0017256E"/>
    <w:rsid w:val="001729DE"/>
    <w:rsid w:val="00172ADE"/>
    <w:rsid w:val="00172D6E"/>
    <w:rsid w:val="00172FF9"/>
    <w:rsid w:val="00173276"/>
    <w:rsid w:val="0017327D"/>
    <w:rsid w:val="0017390C"/>
    <w:rsid w:val="001741BD"/>
    <w:rsid w:val="001743F4"/>
    <w:rsid w:val="0017453C"/>
    <w:rsid w:val="00174B93"/>
    <w:rsid w:val="00174EA0"/>
    <w:rsid w:val="00175668"/>
    <w:rsid w:val="00175920"/>
    <w:rsid w:val="00175DCA"/>
    <w:rsid w:val="00175E35"/>
    <w:rsid w:val="00175EFD"/>
    <w:rsid w:val="00176218"/>
    <w:rsid w:val="00176BF6"/>
    <w:rsid w:val="00176E84"/>
    <w:rsid w:val="00176FEE"/>
    <w:rsid w:val="00176FFA"/>
    <w:rsid w:val="00177366"/>
    <w:rsid w:val="00177BD7"/>
    <w:rsid w:val="00177BF7"/>
    <w:rsid w:val="00177C91"/>
    <w:rsid w:val="00177F01"/>
    <w:rsid w:val="0018009D"/>
    <w:rsid w:val="001806CA"/>
    <w:rsid w:val="00180BF4"/>
    <w:rsid w:val="00180E28"/>
    <w:rsid w:val="00180F4F"/>
    <w:rsid w:val="0018111D"/>
    <w:rsid w:val="0018165E"/>
    <w:rsid w:val="00181790"/>
    <w:rsid w:val="00181AA1"/>
    <w:rsid w:val="00181C30"/>
    <w:rsid w:val="00181D41"/>
    <w:rsid w:val="00181E76"/>
    <w:rsid w:val="001822C0"/>
    <w:rsid w:val="001822ED"/>
    <w:rsid w:val="001825B8"/>
    <w:rsid w:val="00182C97"/>
    <w:rsid w:val="00182D81"/>
    <w:rsid w:val="00183353"/>
    <w:rsid w:val="0018347E"/>
    <w:rsid w:val="00183862"/>
    <w:rsid w:val="00183D42"/>
    <w:rsid w:val="001842C8"/>
    <w:rsid w:val="00184315"/>
    <w:rsid w:val="001845AF"/>
    <w:rsid w:val="00184714"/>
    <w:rsid w:val="0018499D"/>
    <w:rsid w:val="00184C37"/>
    <w:rsid w:val="0018534D"/>
    <w:rsid w:val="001853D9"/>
    <w:rsid w:val="0018545B"/>
    <w:rsid w:val="001858B4"/>
    <w:rsid w:val="001859C8"/>
    <w:rsid w:val="00185AF6"/>
    <w:rsid w:val="00185C16"/>
    <w:rsid w:val="00185DFA"/>
    <w:rsid w:val="00186B89"/>
    <w:rsid w:val="001871D7"/>
    <w:rsid w:val="001876EF"/>
    <w:rsid w:val="00187887"/>
    <w:rsid w:val="001879B5"/>
    <w:rsid w:val="00187C8B"/>
    <w:rsid w:val="00187E90"/>
    <w:rsid w:val="0019004B"/>
    <w:rsid w:val="001901B9"/>
    <w:rsid w:val="00190271"/>
    <w:rsid w:val="00190288"/>
    <w:rsid w:val="00190614"/>
    <w:rsid w:val="001908CE"/>
    <w:rsid w:val="00191394"/>
    <w:rsid w:val="0019172E"/>
    <w:rsid w:val="00191752"/>
    <w:rsid w:val="00191885"/>
    <w:rsid w:val="00191888"/>
    <w:rsid w:val="00191977"/>
    <w:rsid w:val="00191A31"/>
    <w:rsid w:val="00191ADE"/>
    <w:rsid w:val="00191B74"/>
    <w:rsid w:val="00191BA3"/>
    <w:rsid w:val="00191E0E"/>
    <w:rsid w:val="00191EF6"/>
    <w:rsid w:val="0019245D"/>
    <w:rsid w:val="00192602"/>
    <w:rsid w:val="0019284A"/>
    <w:rsid w:val="001928B3"/>
    <w:rsid w:val="00192AD6"/>
    <w:rsid w:val="00192B66"/>
    <w:rsid w:val="00192B77"/>
    <w:rsid w:val="00192C7A"/>
    <w:rsid w:val="00192CF9"/>
    <w:rsid w:val="00192E80"/>
    <w:rsid w:val="001932EE"/>
    <w:rsid w:val="001933BB"/>
    <w:rsid w:val="001934E4"/>
    <w:rsid w:val="00193ACD"/>
    <w:rsid w:val="00193AE7"/>
    <w:rsid w:val="00193F09"/>
    <w:rsid w:val="0019415B"/>
    <w:rsid w:val="001949A9"/>
    <w:rsid w:val="00194B76"/>
    <w:rsid w:val="00194DBD"/>
    <w:rsid w:val="00194F0F"/>
    <w:rsid w:val="00194F61"/>
    <w:rsid w:val="001950C6"/>
    <w:rsid w:val="001952B4"/>
    <w:rsid w:val="0019555D"/>
    <w:rsid w:val="001957EA"/>
    <w:rsid w:val="00195889"/>
    <w:rsid w:val="00195B1F"/>
    <w:rsid w:val="00195B93"/>
    <w:rsid w:val="00195D6C"/>
    <w:rsid w:val="00195DB7"/>
    <w:rsid w:val="00196261"/>
    <w:rsid w:val="001964C5"/>
    <w:rsid w:val="00196508"/>
    <w:rsid w:val="00196CC1"/>
    <w:rsid w:val="00196D38"/>
    <w:rsid w:val="00196DD2"/>
    <w:rsid w:val="0019723D"/>
    <w:rsid w:val="001975AF"/>
    <w:rsid w:val="0019782C"/>
    <w:rsid w:val="00197FCD"/>
    <w:rsid w:val="001A02AB"/>
    <w:rsid w:val="001A0774"/>
    <w:rsid w:val="001A07AE"/>
    <w:rsid w:val="001A0BFA"/>
    <w:rsid w:val="001A0D7F"/>
    <w:rsid w:val="001A1123"/>
    <w:rsid w:val="001A115B"/>
    <w:rsid w:val="001A1164"/>
    <w:rsid w:val="001A18F8"/>
    <w:rsid w:val="001A2097"/>
    <w:rsid w:val="001A2566"/>
    <w:rsid w:val="001A27B4"/>
    <w:rsid w:val="001A2C77"/>
    <w:rsid w:val="001A2EE3"/>
    <w:rsid w:val="001A2FA2"/>
    <w:rsid w:val="001A2FF8"/>
    <w:rsid w:val="001A3174"/>
    <w:rsid w:val="001A37DD"/>
    <w:rsid w:val="001A3E58"/>
    <w:rsid w:val="001A40E8"/>
    <w:rsid w:val="001A4150"/>
    <w:rsid w:val="001A4331"/>
    <w:rsid w:val="001A43F1"/>
    <w:rsid w:val="001A4474"/>
    <w:rsid w:val="001A4494"/>
    <w:rsid w:val="001A45A0"/>
    <w:rsid w:val="001A4E4F"/>
    <w:rsid w:val="001A4FA3"/>
    <w:rsid w:val="001A5104"/>
    <w:rsid w:val="001A58C7"/>
    <w:rsid w:val="001A594F"/>
    <w:rsid w:val="001A60F4"/>
    <w:rsid w:val="001A640E"/>
    <w:rsid w:val="001A6581"/>
    <w:rsid w:val="001A6F95"/>
    <w:rsid w:val="001A766C"/>
    <w:rsid w:val="001A790F"/>
    <w:rsid w:val="001A7951"/>
    <w:rsid w:val="001A7BDE"/>
    <w:rsid w:val="001A7F7D"/>
    <w:rsid w:val="001B004C"/>
    <w:rsid w:val="001B00EE"/>
    <w:rsid w:val="001B03F7"/>
    <w:rsid w:val="001B0D13"/>
    <w:rsid w:val="001B0F16"/>
    <w:rsid w:val="001B0F3C"/>
    <w:rsid w:val="001B11A2"/>
    <w:rsid w:val="001B12EF"/>
    <w:rsid w:val="001B1BCB"/>
    <w:rsid w:val="001B1CD7"/>
    <w:rsid w:val="001B2258"/>
    <w:rsid w:val="001B2734"/>
    <w:rsid w:val="001B30E1"/>
    <w:rsid w:val="001B353C"/>
    <w:rsid w:val="001B36AA"/>
    <w:rsid w:val="001B38FE"/>
    <w:rsid w:val="001B3A45"/>
    <w:rsid w:val="001B47CE"/>
    <w:rsid w:val="001B4802"/>
    <w:rsid w:val="001B4D13"/>
    <w:rsid w:val="001B4D7F"/>
    <w:rsid w:val="001B4E40"/>
    <w:rsid w:val="001B4F51"/>
    <w:rsid w:val="001B52CA"/>
    <w:rsid w:val="001B555E"/>
    <w:rsid w:val="001B5605"/>
    <w:rsid w:val="001B58E5"/>
    <w:rsid w:val="001B6316"/>
    <w:rsid w:val="001B65DD"/>
    <w:rsid w:val="001B6A1E"/>
    <w:rsid w:val="001B6C27"/>
    <w:rsid w:val="001B70C0"/>
    <w:rsid w:val="001B7942"/>
    <w:rsid w:val="001B79CD"/>
    <w:rsid w:val="001B7BD0"/>
    <w:rsid w:val="001B7C6C"/>
    <w:rsid w:val="001C016D"/>
    <w:rsid w:val="001C0862"/>
    <w:rsid w:val="001C08A0"/>
    <w:rsid w:val="001C08D2"/>
    <w:rsid w:val="001C09D8"/>
    <w:rsid w:val="001C1AC8"/>
    <w:rsid w:val="001C20E2"/>
    <w:rsid w:val="001C2244"/>
    <w:rsid w:val="001C2978"/>
    <w:rsid w:val="001C2CAA"/>
    <w:rsid w:val="001C30F4"/>
    <w:rsid w:val="001C3593"/>
    <w:rsid w:val="001C3ABF"/>
    <w:rsid w:val="001C3D97"/>
    <w:rsid w:val="001C3E06"/>
    <w:rsid w:val="001C3E24"/>
    <w:rsid w:val="001C3F3D"/>
    <w:rsid w:val="001C4BC6"/>
    <w:rsid w:val="001C4D69"/>
    <w:rsid w:val="001C4EDA"/>
    <w:rsid w:val="001C528E"/>
    <w:rsid w:val="001C5961"/>
    <w:rsid w:val="001C5BAB"/>
    <w:rsid w:val="001C5D10"/>
    <w:rsid w:val="001C5D29"/>
    <w:rsid w:val="001C5DCC"/>
    <w:rsid w:val="001C5FCC"/>
    <w:rsid w:val="001C6127"/>
    <w:rsid w:val="001C65E6"/>
    <w:rsid w:val="001C6646"/>
    <w:rsid w:val="001C666F"/>
    <w:rsid w:val="001C66CA"/>
    <w:rsid w:val="001C6721"/>
    <w:rsid w:val="001C6C33"/>
    <w:rsid w:val="001C6CB7"/>
    <w:rsid w:val="001C6CDC"/>
    <w:rsid w:val="001C6FA4"/>
    <w:rsid w:val="001C7159"/>
    <w:rsid w:val="001C725B"/>
    <w:rsid w:val="001C7294"/>
    <w:rsid w:val="001C72DC"/>
    <w:rsid w:val="001C740B"/>
    <w:rsid w:val="001C7D00"/>
    <w:rsid w:val="001D0167"/>
    <w:rsid w:val="001D01B5"/>
    <w:rsid w:val="001D0381"/>
    <w:rsid w:val="001D09A7"/>
    <w:rsid w:val="001D0B90"/>
    <w:rsid w:val="001D0DEB"/>
    <w:rsid w:val="001D1030"/>
    <w:rsid w:val="001D10A5"/>
    <w:rsid w:val="001D129A"/>
    <w:rsid w:val="001D12CF"/>
    <w:rsid w:val="001D148A"/>
    <w:rsid w:val="001D163B"/>
    <w:rsid w:val="001D18C5"/>
    <w:rsid w:val="001D1D6F"/>
    <w:rsid w:val="001D22A2"/>
    <w:rsid w:val="001D23F9"/>
    <w:rsid w:val="001D24E0"/>
    <w:rsid w:val="001D2875"/>
    <w:rsid w:val="001D29FF"/>
    <w:rsid w:val="001D2A54"/>
    <w:rsid w:val="001D2CCE"/>
    <w:rsid w:val="001D2FAA"/>
    <w:rsid w:val="001D31DE"/>
    <w:rsid w:val="001D3649"/>
    <w:rsid w:val="001D3B88"/>
    <w:rsid w:val="001D3D61"/>
    <w:rsid w:val="001D485A"/>
    <w:rsid w:val="001D4A60"/>
    <w:rsid w:val="001D4AFA"/>
    <w:rsid w:val="001D5508"/>
    <w:rsid w:val="001D57A8"/>
    <w:rsid w:val="001D5918"/>
    <w:rsid w:val="001D5D4D"/>
    <w:rsid w:val="001D5F84"/>
    <w:rsid w:val="001D61BF"/>
    <w:rsid w:val="001D6D26"/>
    <w:rsid w:val="001D6FE5"/>
    <w:rsid w:val="001D7045"/>
    <w:rsid w:val="001D76DD"/>
    <w:rsid w:val="001D7BFA"/>
    <w:rsid w:val="001D7ED2"/>
    <w:rsid w:val="001D7FA5"/>
    <w:rsid w:val="001D7FD0"/>
    <w:rsid w:val="001E01A8"/>
    <w:rsid w:val="001E055F"/>
    <w:rsid w:val="001E0749"/>
    <w:rsid w:val="001E099D"/>
    <w:rsid w:val="001E0A1D"/>
    <w:rsid w:val="001E0BA8"/>
    <w:rsid w:val="001E0FDA"/>
    <w:rsid w:val="001E11E7"/>
    <w:rsid w:val="001E137A"/>
    <w:rsid w:val="001E18CE"/>
    <w:rsid w:val="001E1C28"/>
    <w:rsid w:val="001E1C92"/>
    <w:rsid w:val="001E2445"/>
    <w:rsid w:val="001E25EC"/>
    <w:rsid w:val="001E2702"/>
    <w:rsid w:val="001E2713"/>
    <w:rsid w:val="001E2AA2"/>
    <w:rsid w:val="001E2E94"/>
    <w:rsid w:val="001E2F56"/>
    <w:rsid w:val="001E3B56"/>
    <w:rsid w:val="001E405B"/>
    <w:rsid w:val="001E4492"/>
    <w:rsid w:val="001E4FD8"/>
    <w:rsid w:val="001E5721"/>
    <w:rsid w:val="001E591D"/>
    <w:rsid w:val="001E5BCA"/>
    <w:rsid w:val="001E5D5A"/>
    <w:rsid w:val="001E5EF1"/>
    <w:rsid w:val="001E6148"/>
    <w:rsid w:val="001E67F5"/>
    <w:rsid w:val="001E681D"/>
    <w:rsid w:val="001E6A9B"/>
    <w:rsid w:val="001E6C7B"/>
    <w:rsid w:val="001E6CED"/>
    <w:rsid w:val="001E6EA5"/>
    <w:rsid w:val="001E6FAB"/>
    <w:rsid w:val="001E74A9"/>
    <w:rsid w:val="001E7777"/>
    <w:rsid w:val="001E79A2"/>
    <w:rsid w:val="001E79A8"/>
    <w:rsid w:val="001F0147"/>
    <w:rsid w:val="001F0972"/>
    <w:rsid w:val="001F0BB7"/>
    <w:rsid w:val="001F0BE7"/>
    <w:rsid w:val="001F0D9B"/>
    <w:rsid w:val="001F104E"/>
    <w:rsid w:val="001F136B"/>
    <w:rsid w:val="001F18A3"/>
    <w:rsid w:val="001F1CEA"/>
    <w:rsid w:val="001F22F4"/>
    <w:rsid w:val="001F28F9"/>
    <w:rsid w:val="001F2DF4"/>
    <w:rsid w:val="001F2E89"/>
    <w:rsid w:val="001F2EAC"/>
    <w:rsid w:val="001F2EE9"/>
    <w:rsid w:val="001F3105"/>
    <w:rsid w:val="001F31FB"/>
    <w:rsid w:val="001F3263"/>
    <w:rsid w:val="001F3389"/>
    <w:rsid w:val="001F3544"/>
    <w:rsid w:val="001F3770"/>
    <w:rsid w:val="001F37AE"/>
    <w:rsid w:val="001F3841"/>
    <w:rsid w:val="001F39E1"/>
    <w:rsid w:val="001F3D07"/>
    <w:rsid w:val="001F3D0D"/>
    <w:rsid w:val="001F47A9"/>
    <w:rsid w:val="001F481A"/>
    <w:rsid w:val="001F4C56"/>
    <w:rsid w:val="001F5022"/>
    <w:rsid w:val="001F50C2"/>
    <w:rsid w:val="001F54AF"/>
    <w:rsid w:val="001F562B"/>
    <w:rsid w:val="001F5636"/>
    <w:rsid w:val="001F570D"/>
    <w:rsid w:val="001F5AD7"/>
    <w:rsid w:val="001F5BE7"/>
    <w:rsid w:val="001F5E84"/>
    <w:rsid w:val="001F5EAF"/>
    <w:rsid w:val="001F6095"/>
    <w:rsid w:val="001F66D8"/>
    <w:rsid w:val="001F688C"/>
    <w:rsid w:val="001F6B5B"/>
    <w:rsid w:val="001F6D31"/>
    <w:rsid w:val="001F6D78"/>
    <w:rsid w:val="001F72C1"/>
    <w:rsid w:val="001F73E1"/>
    <w:rsid w:val="001F76A2"/>
    <w:rsid w:val="001F7736"/>
    <w:rsid w:val="001F7DDB"/>
    <w:rsid w:val="00200114"/>
    <w:rsid w:val="002008E4"/>
    <w:rsid w:val="002008EC"/>
    <w:rsid w:val="00200A0F"/>
    <w:rsid w:val="00200D78"/>
    <w:rsid w:val="00200EC7"/>
    <w:rsid w:val="00200F7B"/>
    <w:rsid w:val="0020107C"/>
    <w:rsid w:val="002017C4"/>
    <w:rsid w:val="00201B5A"/>
    <w:rsid w:val="0020250A"/>
    <w:rsid w:val="002025CA"/>
    <w:rsid w:val="00202D44"/>
    <w:rsid w:val="00202E88"/>
    <w:rsid w:val="00203279"/>
    <w:rsid w:val="00203E84"/>
    <w:rsid w:val="00204178"/>
    <w:rsid w:val="00204191"/>
    <w:rsid w:val="00204223"/>
    <w:rsid w:val="00204488"/>
    <w:rsid w:val="002044B0"/>
    <w:rsid w:val="002046F4"/>
    <w:rsid w:val="00204887"/>
    <w:rsid w:val="00204D98"/>
    <w:rsid w:val="0020535B"/>
    <w:rsid w:val="0020585F"/>
    <w:rsid w:val="00205FA9"/>
    <w:rsid w:val="002061E0"/>
    <w:rsid w:val="002069BD"/>
    <w:rsid w:val="002069F0"/>
    <w:rsid w:val="00206BBA"/>
    <w:rsid w:val="00206E93"/>
    <w:rsid w:val="0020713C"/>
    <w:rsid w:val="002072AC"/>
    <w:rsid w:val="002073B1"/>
    <w:rsid w:val="0020766C"/>
    <w:rsid w:val="00207775"/>
    <w:rsid w:val="00207A71"/>
    <w:rsid w:val="0021029F"/>
    <w:rsid w:val="002104F0"/>
    <w:rsid w:val="00210B2E"/>
    <w:rsid w:val="00210B8A"/>
    <w:rsid w:val="00210D85"/>
    <w:rsid w:val="0021137E"/>
    <w:rsid w:val="002117AD"/>
    <w:rsid w:val="002119DD"/>
    <w:rsid w:val="00211B67"/>
    <w:rsid w:val="00211B68"/>
    <w:rsid w:val="0021208C"/>
    <w:rsid w:val="0021291F"/>
    <w:rsid w:val="00212A3B"/>
    <w:rsid w:val="00212F50"/>
    <w:rsid w:val="002130C9"/>
    <w:rsid w:val="00213676"/>
    <w:rsid w:val="00213790"/>
    <w:rsid w:val="002138A4"/>
    <w:rsid w:val="002138B5"/>
    <w:rsid w:val="00213F96"/>
    <w:rsid w:val="002140BB"/>
    <w:rsid w:val="00214628"/>
    <w:rsid w:val="00214A3E"/>
    <w:rsid w:val="00214C25"/>
    <w:rsid w:val="00214CB1"/>
    <w:rsid w:val="00214CDB"/>
    <w:rsid w:val="00215366"/>
    <w:rsid w:val="00215714"/>
    <w:rsid w:val="00215C61"/>
    <w:rsid w:val="00215CBA"/>
    <w:rsid w:val="00215FE9"/>
    <w:rsid w:val="00216202"/>
    <w:rsid w:val="00216510"/>
    <w:rsid w:val="0021651D"/>
    <w:rsid w:val="002166F1"/>
    <w:rsid w:val="002169DB"/>
    <w:rsid w:val="0021703E"/>
    <w:rsid w:val="002172E0"/>
    <w:rsid w:val="002173CB"/>
    <w:rsid w:val="0021753C"/>
    <w:rsid w:val="002177E6"/>
    <w:rsid w:val="00217B1B"/>
    <w:rsid w:val="00217BCF"/>
    <w:rsid w:val="00217C07"/>
    <w:rsid w:val="00217FE5"/>
    <w:rsid w:val="00220369"/>
    <w:rsid w:val="00220DC8"/>
    <w:rsid w:val="002211FF"/>
    <w:rsid w:val="0022140C"/>
    <w:rsid w:val="00221516"/>
    <w:rsid w:val="002218EB"/>
    <w:rsid w:val="00222040"/>
    <w:rsid w:val="00222230"/>
    <w:rsid w:val="0022296E"/>
    <w:rsid w:val="00222CA5"/>
    <w:rsid w:val="00222F99"/>
    <w:rsid w:val="002231BC"/>
    <w:rsid w:val="0022323B"/>
    <w:rsid w:val="00223720"/>
    <w:rsid w:val="00223B06"/>
    <w:rsid w:val="00223B21"/>
    <w:rsid w:val="00223CB6"/>
    <w:rsid w:val="00223E3E"/>
    <w:rsid w:val="00223F17"/>
    <w:rsid w:val="002240A6"/>
    <w:rsid w:val="002241B1"/>
    <w:rsid w:val="002241DE"/>
    <w:rsid w:val="00224690"/>
    <w:rsid w:val="002246E6"/>
    <w:rsid w:val="00224774"/>
    <w:rsid w:val="002249CF"/>
    <w:rsid w:val="00224EA5"/>
    <w:rsid w:val="00225AF1"/>
    <w:rsid w:val="00225CB2"/>
    <w:rsid w:val="002262B0"/>
    <w:rsid w:val="00226317"/>
    <w:rsid w:val="00226AD3"/>
    <w:rsid w:val="00226D33"/>
    <w:rsid w:val="00226D49"/>
    <w:rsid w:val="00226D57"/>
    <w:rsid w:val="00226EAA"/>
    <w:rsid w:val="00227B3E"/>
    <w:rsid w:val="00227B7D"/>
    <w:rsid w:val="00227B86"/>
    <w:rsid w:val="00227EC1"/>
    <w:rsid w:val="00230A9E"/>
    <w:rsid w:val="00230C5F"/>
    <w:rsid w:val="00231167"/>
    <w:rsid w:val="002311C4"/>
    <w:rsid w:val="002311E7"/>
    <w:rsid w:val="00231423"/>
    <w:rsid w:val="00231463"/>
    <w:rsid w:val="002314CD"/>
    <w:rsid w:val="002315EB"/>
    <w:rsid w:val="00231751"/>
    <w:rsid w:val="00231BB0"/>
    <w:rsid w:val="00231C1C"/>
    <w:rsid w:val="00231CC2"/>
    <w:rsid w:val="002321AE"/>
    <w:rsid w:val="00232821"/>
    <w:rsid w:val="002328F1"/>
    <w:rsid w:val="00233184"/>
    <w:rsid w:val="002331B0"/>
    <w:rsid w:val="002332FE"/>
    <w:rsid w:val="002335F1"/>
    <w:rsid w:val="002338D1"/>
    <w:rsid w:val="00233918"/>
    <w:rsid w:val="002340E7"/>
    <w:rsid w:val="002341D5"/>
    <w:rsid w:val="00234962"/>
    <w:rsid w:val="00234BD5"/>
    <w:rsid w:val="00234E98"/>
    <w:rsid w:val="00234EB8"/>
    <w:rsid w:val="00235027"/>
    <w:rsid w:val="002352C2"/>
    <w:rsid w:val="002356B1"/>
    <w:rsid w:val="002356EC"/>
    <w:rsid w:val="00235B86"/>
    <w:rsid w:val="00235BD0"/>
    <w:rsid w:val="00235D00"/>
    <w:rsid w:val="0023624B"/>
    <w:rsid w:val="00236B8A"/>
    <w:rsid w:val="00236BB9"/>
    <w:rsid w:val="00236BBD"/>
    <w:rsid w:val="00236C2B"/>
    <w:rsid w:val="00236CB8"/>
    <w:rsid w:val="00236E5E"/>
    <w:rsid w:val="002372AF"/>
    <w:rsid w:val="002372E7"/>
    <w:rsid w:val="0023747D"/>
    <w:rsid w:val="00237528"/>
    <w:rsid w:val="0023766F"/>
    <w:rsid w:val="0023771B"/>
    <w:rsid w:val="00237A86"/>
    <w:rsid w:val="00240A88"/>
    <w:rsid w:val="00240B44"/>
    <w:rsid w:val="00240EBD"/>
    <w:rsid w:val="00240EE0"/>
    <w:rsid w:val="00241375"/>
    <w:rsid w:val="0024166F"/>
    <w:rsid w:val="00241890"/>
    <w:rsid w:val="00241A34"/>
    <w:rsid w:val="00241AAF"/>
    <w:rsid w:val="0024225E"/>
    <w:rsid w:val="002423CA"/>
    <w:rsid w:val="002424D7"/>
    <w:rsid w:val="00242637"/>
    <w:rsid w:val="0024272A"/>
    <w:rsid w:val="0024279B"/>
    <w:rsid w:val="00242D61"/>
    <w:rsid w:val="00242D90"/>
    <w:rsid w:val="00242DA3"/>
    <w:rsid w:val="00243286"/>
    <w:rsid w:val="002433BA"/>
    <w:rsid w:val="00243B77"/>
    <w:rsid w:val="00244510"/>
    <w:rsid w:val="00244A8B"/>
    <w:rsid w:val="00244BAA"/>
    <w:rsid w:val="00244CD9"/>
    <w:rsid w:val="00245233"/>
    <w:rsid w:val="0024559F"/>
    <w:rsid w:val="00245649"/>
    <w:rsid w:val="002457B7"/>
    <w:rsid w:val="00245960"/>
    <w:rsid w:val="00245E88"/>
    <w:rsid w:val="00245E91"/>
    <w:rsid w:val="002461C0"/>
    <w:rsid w:val="002461F9"/>
    <w:rsid w:val="00246538"/>
    <w:rsid w:val="0024666B"/>
    <w:rsid w:val="002467A5"/>
    <w:rsid w:val="002468D8"/>
    <w:rsid w:val="00246947"/>
    <w:rsid w:val="00246BE8"/>
    <w:rsid w:val="00246E4A"/>
    <w:rsid w:val="00246FCA"/>
    <w:rsid w:val="00247A0F"/>
    <w:rsid w:val="00247BCD"/>
    <w:rsid w:val="00247D14"/>
    <w:rsid w:val="00247E84"/>
    <w:rsid w:val="00247E90"/>
    <w:rsid w:val="00250449"/>
    <w:rsid w:val="00250896"/>
    <w:rsid w:val="00251255"/>
    <w:rsid w:val="002517C7"/>
    <w:rsid w:val="00251962"/>
    <w:rsid w:val="00251CE1"/>
    <w:rsid w:val="00252257"/>
    <w:rsid w:val="0025252A"/>
    <w:rsid w:val="00252AE9"/>
    <w:rsid w:val="00252B3D"/>
    <w:rsid w:val="00253170"/>
    <w:rsid w:val="002535C4"/>
    <w:rsid w:val="002538EC"/>
    <w:rsid w:val="002539C4"/>
    <w:rsid w:val="00253AE0"/>
    <w:rsid w:val="00253B51"/>
    <w:rsid w:val="0025429B"/>
    <w:rsid w:val="00254412"/>
    <w:rsid w:val="002544E0"/>
    <w:rsid w:val="002544E3"/>
    <w:rsid w:val="002545DF"/>
    <w:rsid w:val="00254AA0"/>
    <w:rsid w:val="00254B6F"/>
    <w:rsid w:val="00254CDD"/>
    <w:rsid w:val="00255150"/>
    <w:rsid w:val="002552D2"/>
    <w:rsid w:val="002553A6"/>
    <w:rsid w:val="00255555"/>
    <w:rsid w:val="002556C1"/>
    <w:rsid w:val="002557A9"/>
    <w:rsid w:val="00255837"/>
    <w:rsid w:val="00255A15"/>
    <w:rsid w:val="00255C10"/>
    <w:rsid w:val="00255F36"/>
    <w:rsid w:val="0025608B"/>
    <w:rsid w:val="0025647F"/>
    <w:rsid w:val="002567A1"/>
    <w:rsid w:val="00256D2F"/>
    <w:rsid w:val="0025702F"/>
    <w:rsid w:val="00257966"/>
    <w:rsid w:val="00257B3B"/>
    <w:rsid w:val="00257D76"/>
    <w:rsid w:val="00257F42"/>
    <w:rsid w:val="002600FD"/>
    <w:rsid w:val="002604C9"/>
    <w:rsid w:val="00260A3D"/>
    <w:rsid w:val="00260A8C"/>
    <w:rsid w:val="00260D80"/>
    <w:rsid w:val="00261026"/>
    <w:rsid w:val="00261856"/>
    <w:rsid w:val="002618E7"/>
    <w:rsid w:val="002618F3"/>
    <w:rsid w:val="00261B26"/>
    <w:rsid w:val="00261B67"/>
    <w:rsid w:val="00261E88"/>
    <w:rsid w:val="0026200F"/>
    <w:rsid w:val="00262174"/>
    <w:rsid w:val="00262326"/>
    <w:rsid w:val="00262406"/>
    <w:rsid w:val="0026248F"/>
    <w:rsid w:val="002624AF"/>
    <w:rsid w:val="00262531"/>
    <w:rsid w:val="0026256D"/>
    <w:rsid w:val="00262805"/>
    <w:rsid w:val="00262AD8"/>
    <w:rsid w:val="00262D0A"/>
    <w:rsid w:val="00262D80"/>
    <w:rsid w:val="00262EE5"/>
    <w:rsid w:val="00262EEA"/>
    <w:rsid w:val="002630FA"/>
    <w:rsid w:val="002632DD"/>
    <w:rsid w:val="0026365D"/>
    <w:rsid w:val="002636A0"/>
    <w:rsid w:val="002636B6"/>
    <w:rsid w:val="00263809"/>
    <w:rsid w:val="00263905"/>
    <w:rsid w:val="00263C21"/>
    <w:rsid w:val="00263C58"/>
    <w:rsid w:val="002640DB"/>
    <w:rsid w:val="0026492E"/>
    <w:rsid w:val="002649D1"/>
    <w:rsid w:val="002649FF"/>
    <w:rsid w:val="00264D26"/>
    <w:rsid w:val="00264F0A"/>
    <w:rsid w:val="0026513A"/>
    <w:rsid w:val="00265541"/>
    <w:rsid w:val="00265B4B"/>
    <w:rsid w:val="00265BE2"/>
    <w:rsid w:val="00265FF1"/>
    <w:rsid w:val="002661D1"/>
    <w:rsid w:val="00266A9C"/>
    <w:rsid w:val="00266E36"/>
    <w:rsid w:val="00266EC1"/>
    <w:rsid w:val="002670BC"/>
    <w:rsid w:val="0026746B"/>
    <w:rsid w:val="002676EF"/>
    <w:rsid w:val="00267749"/>
    <w:rsid w:val="00267D40"/>
    <w:rsid w:val="00267D68"/>
    <w:rsid w:val="00267E14"/>
    <w:rsid w:val="00267EA0"/>
    <w:rsid w:val="00267EF2"/>
    <w:rsid w:val="00270233"/>
    <w:rsid w:val="0027066C"/>
    <w:rsid w:val="00270AFB"/>
    <w:rsid w:val="00270B1F"/>
    <w:rsid w:val="00270C27"/>
    <w:rsid w:val="00270D94"/>
    <w:rsid w:val="00270F94"/>
    <w:rsid w:val="0027109C"/>
    <w:rsid w:val="00271378"/>
    <w:rsid w:val="00271441"/>
    <w:rsid w:val="002716CF"/>
    <w:rsid w:val="00271B0B"/>
    <w:rsid w:val="00271C53"/>
    <w:rsid w:val="0027284F"/>
    <w:rsid w:val="00272A87"/>
    <w:rsid w:val="00272C47"/>
    <w:rsid w:val="00272E16"/>
    <w:rsid w:val="00272F89"/>
    <w:rsid w:val="00273670"/>
    <w:rsid w:val="00273970"/>
    <w:rsid w:val="00274029"/>
    <w:rsid w:val="002741AC"/>
    <w:rsid w:val="002745AD"/>
    <w:rsid w:val="0027468B"/>
    <w:rsid w:val="002748F4"/>
    <w:rsid w:val="00274906"/>
    <w:rsid w:val="00274E24"/>
    <w:rsid w:val="002754CF"/>
    <w:rsid w:val="0027550E"/>
    <w:rsid w:val="00275B98"/>
    <w:rsid w:val="0027653E"/>
    <w:rsid w:val="00276B84"/>
    <w:rsid w:val="00276CEA"/>
    <w:rsid w:val="00276EE5"/>
    <w:rsid w:val="002776D2"/>
    <w:rsid w:val="00277888"/>
    <w:rsid w:val="00277991"/>
    <w:rsid w:val="00277A76"/>
    <w:rsid w:val="00277E75"/>
    <w:rsid w:val="002800C1"/>
    <w:rsid w:val="002801C8"/>
    <w:rsid w:val="002802C8"/>
    <w:rsid w:val="00280389"/>
    <w:rsid w:val="00280B83"/>
    <w:rsid w:val="00281459"/>
    <w:rsid w:val="002816BC"/>
    <w:rsid w:val="00281D8F"/>
    <w:rsid w:val="0028213A"/>
    <w:rsid w:val="0028233B"/>
    <w:rsid w:val="002823C7"/>
    <w:rsid w:val="00282424"/>
    <w:rsid w:val="00282589"/>
    <w:rsid w:val="00282614"/>
    <w:rsid w:val="00282663"/>
    <w:rsid w:val="0028276F"/>
    <w:rsid w:val="00282926"/>
    <w:rsid w:val="00282B56"/>
    <w:rsid w:val="00282FF9"/>
    <w:rsid w:val="0028332A"/>
    <w:rsid w:val="002834CF"/>
    <w:rsid w:val="0028376B"/>
    <w:rsid w:val="00283F3B"/>
    <w:rsid w:val="00284021"/>
    <w:rsid w:val="00284085"/>
    <w:rsid w:val="002842C1"/>
    <w:rsid w:val="0028453D"/>
    <w:rsid w:val="002847DC"/>
    <w:rsid w:val="0028523E"/>
    <w:rsid w:val="002853B8"/>
    <w:rsid w:val="00285BB5"/>
    <w:rsid w:val="00285ED0"/>
    <w:rsid w:val="00286304"/>
    <w:rsid w:val="00286724"/>
    <w:rsid w:val="00286A07"/>
    <w:rsid w:val="00286C34"/>
    <w:rsid w:val="00286CD8"/>
    <w:rsid w:val="00286D6E"/>
    <w:rsid w:val="00286EA7"/>
    <w:rsid w:val="00286F87"/>
    <w:rsid w:val="0028733E"/>
    <w:rsid w:val="002879A7"/>
    <w:rsid w:val="002879D4"/>
    <w:rsid w:val="00287EB3"/>
    <w:rsid w:val="0029000D"/>
    <w:rsid w:val="002902C4"/>
    <w:rsid w:val="00290405"/>
    <w:rsid w:val="00290D3A"/>
    <w:rsid w:val="0029138F"/>
    <w:rsid w:val="0029144F"/>
    <w:rsid w:val="00291CD4"/>
    <w:rsid w:val="00291DAF"/>
    <w:rsid w:val="00291FF8"/>
    <w:rsid w:val="00292121"/>
    <w:rsid w:val="00292294"/>
    <w:rsid w:val="002923C6"/>
    <w:rsid w:val="002924D0"/>
    <w:rsid w:val="002924DF"/>
    <w:rsid w:val="002926F0"/>
    <w:rsid w:val="00292CBF"/>
    <w:rsid w:val="0029333A"/>
    <w:rsid w:val="00293424"/>
    <w:rsid w:val="00293A37"/>
    <w:rsid w:val="00293EB3"/>
    <w:rsid w:val="00294446"/>
    <w:rsid w:val="0029464E"/>
    <w:rsid w:val="002956F5"/>
    <w:rsid w:val="00295752"/>
    <w:rsid w:val="00295F18"/>
    <w:rsid w:val="002961D4"/>
    <w:rsid w:val="0029683A"/>
    <w:rsid w:val="00296CA3"/>
    <w:rsid w:val="00296ED0"/>
    <w:rsid w:val="00296FA6"/>
    <w:rsid w:val="00297518"/>
    <w:rsid w:val="002976B6"/>
    <w:rsid w:val="00297916"/>
    <w:rsid w:val="00297BCC"/>
    <w:rsid w:val="00297DC5"/>
    <w:rsid w:val="00297F5B"/>
    <w:rsid w:val="002A00A4"/>
    <w:rsid w:val="002A01D0"/>
    <w:rsid w:val="002A0394"/>
    <w:rsid w:val="002A045D"/>
    <w:rsid w:val="002A04DC"/>
    <w:rsid w:val="002A0633"/>
    <w:rsid w:val="002A07B2"/>
    <w:rsid w:val="002A0A44"/>
    <w:rsid w:val="002A0C31"/>
    <w:rsid w:val="002A0D4B"/>
    <w:rsid w:val="002A106A"/>
    <w:rsid w:val="002A124D"/>
    <w:rsid w:val="002A160B"/>
    <w:rsid w:val="002A1622"/>
    <w:rsid w:val="002A1A0D"/>
    <w:rsid w:val="002A1C72"/>
    <w:rsid w:val="002A1CB5"/>
    <w:rsid w:val="002A1DB5"/>
    <w:rsid w:val="002A200E"/>
    <w:rsid w:val="002A23FE"/>
    <w:rsid w:val="002A24F3"/>
    <w:rsid w:val="002A2FBF"/>
    <w:rsid w:val="002A2FEF"/>
    <w:rsid w:val="002A3127"/>
    <w:rsid w:val="002A3E93"/>
    <w:rsid w:val="002A5196"/>
    <w:rsid w:val="002A5428"/>
    <w:rsid w:val="002A56CA"/>
    <w:rsid w:val="002A5738"/>
    <w:rsid w:val="002A583D"/>
    <w:rsid w:val="002A6130"/>
    <w:rsid w:val="002A62DF"/>
    <w:rsid w:val="002A64AD"/>
    <w:rsid w:val="002A6B8F"/>
    <w:rsid w:val="002A6F06"/>
    <w:rsid w:val="002A6FA9"/>
    <w:rsid w:val="002A7242"/>
    <w:rsid w:val="002A72EE"/>
    <w:rsid w:val="002A75FF"/>
    <w:rsid w:val="002A799E"/>
    <w:rsid w:val="002A7ACA"/>
    <w:rsid w:val="002A7DB3"/>
    <w:rsid w:val="002A7FAA"/>
    <w:rsid w:val="002B03F4"/>
    <w:rsid w:val="002B075E"/>
    <w:rsid w:val="002B083E"/>
    <w:rsid w:val="002B089D"/>
    <w:rsid w:val="002B0A71"/>
    <w:rsid w:val="002B0ABB"/>
    <w:rsid w:val="002B0E7A"/>
    <w:rsid w:val="002B0F93"/>
    <w:rsid w:val="002B1045"/>
    <w:rsid w:val="002B12C4"/>
    <w:rsid w:val="002B1591"/>
    <w:rsid w:val="002B1599"/>
    <w:rsid w:val="002B1622"/>
    <w:rsid w:val="002B1DFB"/>
    <w:rsid w:val="002B1E59"/>
    <w:rsid w:val="002B1EF3"/>
    <w:rsid w:val="002B2707"/>
    <w:rsid w:val="002B277C"/>
    <w:rsid w:val="002B31A9"/>
    <w:rsid w:val="002B3747"/>
    <w:rsid w:val="002B3F51"/>
    <w:rsid w:val="002B445A"/>
    <w:rsid w:val="002B468D"/>
    <w:rsid w:val="002B4994"/>
    <w:rsid w:val="002B49BD"/>
    <w:rsid w:val="002B4B90"/>
    <w:rsid w:val="002B4CA0"/>
    <w:rsid w:val="002B4D82"/>
    <w:rsid w:val="002B4F43"/>
    <w:rsid w:val="002B513A"/>
    <w:rsid w:val="002B5276"/>
    <w:rsid w:val="002B5714"/>
    <w:rsid w:val="002B5B73"/>
    <w:rsid w:val="002B5BB0"/>
    <w:rsid w:val="002B63AA"/>
    <w:rsid w:val="002B69C0"/>
    <w:rsid w:val="002B6A02"/>
    <w:rsid w:val="002B6A98"/>
    <w:rsid w:val="002B7585"/>
    <w:rsid w:val="002B7DC4"/>
    <w:rsid w:val="002C0028"/>
    <w:rsid w:val="002C00C2"/>
    <w:rsid w:val="002C01BA"/>
    <w:rsid w:val="002C01C5"/>
    <w:rsid w:val="002C02C6"/>
    <w:rsid w:val="002C0461"/>
    <w:rsid w:val="002C06AA"/>
    <w:rsid w:val="002C0837"/>
    <w:rsid w:val="002C0A67"/>
    <w:rsid w:val="002C0D3A"/>
    <w:rsid w:val="002C0F93"/>
    <w:rsid w:val="002C1908"/>
    <w:rsid w:val="002C1F92"/>
    <w:rsid w:val="002C20E4"/>
    <w:rsid w:val="002C22AA"/>
    <w:rsid w:val="002C2420"/>
    <w:rsid w:val="002C25AF"/>
    <w:rsid w:val="002C25C5"/>
    <w:rsid w:val="002C2836"/>
    <w:rsid w:val="002C2AB4"/>
    <w:rsid w:val="002C3443"/>
    <w:rsid w:val="002C351B"/>
    <w:rsid w:val="002C386B"/>
    <w:rsid w:val="002C3AA8"/>
    <w:rsid w:val="002C3FD6"/>
    <w:rsid w:val="002C4037"/>
    <w:rsid w:val="002C40D2"/>
    <w:rsid w:val="002C412B"/>
    <w:rsid w:val="002C431B"/>
    <w:rsid w:val="002C4904"/>
    <w:rsid w:val="002C4DBE"/>
    <w:rsid w:val="002C50A1"/>
    <w:rsid w:val="002C55AE"/>
    <w:rsid w:val="002C5775"/>
    <w:rsid w:val="002C58F2"/>
    <w:rsid w:val="002C5962"/>
    <w:rsid w:val="002C597E"/>
    <w:rsid w:val="002C6220"/>
    <w:rsid w:val="002C6992"/>
    <w:rsid w:val="002C6F7E"/>
    <w:rsid w:val="002C7100"/>
    <w:rsid w:val="002C718C"/>
    <w:rsid w:val="002C7260"/>
    <w:rsid w:val="002C737A"/>
    <w:rsid w:val="002C7729"/>
    <w:rsid w:val="002C7B3F"/>
    <w:rsid w:val="002C7F14"/>
    <w:rsid w:val="002D000B"/>
    <w:rsid w:val="002D012C"/>
    <w:rsid w:val="002D05E4"/>
    <w:rsid w:val="002D0618"/>
    <w:rsid w:val="002D0769"/>
    <w:rsid w:val="002D0E85"/>
    <w:rsid w:val="002D0EB8"/>
    <w:rsid w:val="002D0FB0"/>
    <w:rsid w:val="002D159A"/>
    <w:rsid w:val="002D1991"/>
    <w:rsid w:val="002D1EDB"/>
    <w:rsid w:val="002D1FAC"/>
    <w:rsid w:val="002D2048"/>
    <w:rsid w:val="002D238C"/>
    <w:rsid w:val="002D284A"/>
    <w:rsid w:val="002D290A"/>
    <w:rsid w:val="002D2E2E"/>
    <w:rsid w:val="002D2FBB"/>
    <w:rsid w:val="002D35BD"/>
    <w:rsid w:val="002D3C6D"/>
    <w:rsid w:val="002D3FE1"/>
    <w:rsid w:val="002D4277"/>
    <w:rsid w:val="002D445C"/>
    <w:rsid w:val="002D4560"/>
    <w:rsid w:val="002D45A1"/>
    <w:rsid w:val="002D466F"/>
    <w:rsid w:val="002D4951"/>
    <w:rsid w:val="002D4DAB"/>
    <w:rsid w:val="002D5572"/>
    <w:rsid w:val="002D5CFA"/>
    <w:rsid w:val="002D5E8D"/>
    <w:rsid w:val="002D6025"/>
    <w:rsid w:val="002D625A"/>
    <w:rsid w:val="002D645C"/>
    <w:rsid w:val="002D665B"/>
    <w:rsid w:val="002D6A07"/>
    <w:rsid w:val="002D6D01"/>
    <w:rsid w:val="002D6DFF"/>
    <w:rsid w:val="002D6E8D"/>
    <w:rsid w:val="002D7056"/>
    <w:rsid w:val="002D7598"/>
    <w:rsid w:val="002D7657"/>
    <w:rsid w:val="002D77AB"/>
    <w:rsid w:val="002E0A73"/>
    <w:rsid w:val="002E0D57"/>
    <w:rsid w:val="002E0D64"/>
    <w:rsid w:val="002E0E6B"/>
    <w:rsid w:val="002E118E"/>
    <w:rsid w:val="002E13FA"/>
    <w:rsid w:val="002E1560"/>
    <w:rsid w:val="002E16BA"/>
    <w:rsid w:val="002E1A80"/>
    <w:rsid w:val="002E23C9"/>
    <w:rsid w:val="002E2995"/>
    <w:rsid w:val="002E2A31"/>
    <w:rsid w:val="002E2EE4"/>
    <w:rsid w:val="002E30D1"/>
    <w:rsid w:val="002E31FF"/>
    <w:rsid w:val="002E3227"/>
    <w:rsid w:val="002E3690"/>
    <w:rsid w:val="002E398D"/>
    <w:rsid w:val="002E39FB"/>
    <w:rsid w:val="002E3B4B"/>
    <w:rsid w:val="002E3E15"/>
    <w:rsid w:val="002E4333"/>
    <w:rsid w:val="002E449D"/>
    <w:rsid w:val="002E46BE"/>
    <w:rsid w:val="002E499B"/>
    <w:rsid w:val="002E5033"/>
    <w:rsid w:val="002E53BE"/>
    <w:rsid w:val="002E5743"/>
    <w:rsid w:val="002E5BB7"/>
    <w:rsid w:val="002E5DC2"/>
    <w:rsid w:val="002E5E93"/>
    <w:rsid w:val="002E6577"/>
    <w:rsid w:val="002E6709"/>
    <w:rsid w:val="002E673D"/>
    <w:rsid w:val="002E6BD4"/>
    <w:rsid w:val="002E6C51"/>
    <w:rsid w:val="002E7143"/>
    <w:rsid w:val="002E7714"/>
    <w:rsid w:val="002E7736"/>
    <w:rsid w:val="002F0548"/>
    <w:rsid w:val="002F0662"/>
    <w:rsid w:val="002F0E9F"/>
    <w:rsid w:val="002F0F0C"/>
    <w:rsid w:val="002F1140"/>
    <w:rsid w:val="002F16EA"/>
    <w:rsid w:val="002F17E6"/>
    <w:rsid w:val="002F1DBE"/>
    <w:rsid w:val="002F2356"/>
    <w:rsid w:val="002F2B27"/>
    <w:rsid w:val="002F2EB4"/>
    <w:rsid w:val="002F33C4"/>
    <w:rsid w:val="002F3472"/>
    <w:rsid w:val="002F3822"/>
    <w:rsid w:val="002F39EA"/>
    <w:rsid w:val="002F3BD9"/>
    <w:rsid w:val="002F46AD"/>
    <w:rsid w:val="002F4CBE"/>
    <w:rsid w:val="002F5014"/>
    <w:rsid w:val="002F5078"/>
    <w:rsid w:val="002F55F0"/>
    <w:rsid w:val="002F585C"/>
    <w:rsid w:val="002F59FB"/>
    <w:rsid w:val="002F5D1C"/>
    <w:rsid w:val="002F60BF"/>
    <w:rsid w:val="002F61C2"/>
    <w:rsid w:val="002F623B"/>
    <w:rsid w:val="002F643E"/>
    <w:rsid w:val="002F6A40"/>
    <w:rsid w:val="002F6B0A"/>
    <w:rsid w:val="00300596"/>
    <w:rsid w:val="00300931"/>
    <w:rsid w:val="00300A8A"/>
    <w:rsid w:val="00300B44"/>
    <w:rsid w:val="00300B6B"/>
    <w:rsid w:val="00300C42"/>
    <w:rsid w:val="00300F59"/>
    <w:rsid w:val="00301055"/>
    <w:rsid w:val="00301067"/>
    <w:rsid w:val="003012BF"/>
    <w:rsid w:val="003013AE"/>
    <w:rsid w:val="00301484"/>
    <w:rsid w:val="003014D4"/>
    <w:rsid w:val="003014DA"/>
    <w:rsid w:val="0030194F"/>
    <w:rsid w:val="0030199A"/>
    <w:rsid w:val="00301A4C"/>
    <w:rsid w:val="00301C17"/>
    <w:rsid w:val="00301C72"/>
    <w:rsid w:val="003025AC"/>
    <w:rsid w:val="00302693"/>
    <w:rsid w:val="003028A4"/>
    <w:rsid w:val="003029E7"/>
    <w:rsid w:val="00302D5A"/>
    <w:rsid w:val="00302E9F"/>
    <w:rsid w:val="00302F54"/>
    <w:rsid w:val="00303024"/>
    <w:rsid w:val="0030334A"/>
    <w:rsid w:val="00303661"/>
    <w:rsid w:val="003037ED"/>
    <w:rsid w:val="00303CBB"/>
    <w:rsid w:val="0030401E"/>
    <w:rsid w:val="0030436D"/>
    <w:rsid w:val="003044B8"/>
    <w:rsid w:val="0030489D"/>
    <w:rsid w:val="003048AC"/>
    <w:rsid w:val="003048C6"/>
    <w:rsid w:val="003057C6"/>
    <w:rsid w:val="00305997"/>
    <w:rsid w:val="00305BC8"/>
    <w:rsid w:val="00305E5B"/>
    <w:rsid w:val="00305F17"/>
    <w:rsid w:val="00305FC0"/>
    <w:rsid w:val="003063E1"/>
    <w:rsid w:val="00306AAC"/>
    <w:rsid w:val="00306DFC"/>
    <w:rsid w:val="00307048"/>
    <w:rsid w:val="00307059"/>
    <w:rsid w:val="003071D3"/>
    <w:rsid w:val="00307B56"/>
    <w:rsid w:val="00307B5B"/>
    <w:rsid w:val="00307D87"/>
    <w:rsid w:val="00310130"/>
    <w:rsid w:val="00310156"/>
    <w:rsid w:val="00310184"/>
    <w:rsid w:val="003102CB"/>
    <w:rsid w:val="0031086F"/>
    <w:rsid w:val="00310B26"/>
    <w:rsid w:val="00310FB1"/>
    <w:rsid w:val="0031116C"/>
    <w:rsid w:val="003113B5"/>
    <w:rsid w:val="003114C1"/>
    <w:rsid w:val="003114EA"/>
    <w:rsid w:val="003116DD"/>
    <w:rsid w:val="00311F13"/>
    <w:rsid w:val="00312175"/>
    <w:rsid w:val="003121D4"/>
    <w:rsid w:val="003125BA"/>
    <w:rsid w:val="0031271B"/>
    <w:rsid w:val="00312BCB"/>
    <w:rsid w:val="00313189"/>
    <w:rsid w:val="003131C2"/>
    <w:rsid w:val="003133B7"/>
    <w:rsid w:val="00313450"/>
    <w:rsid w:val="0031394A"/>
    <w:rsid w:val="003139FA"/>
    <w:rsid w:val="00313E8D"/>
    <w:rsid w:val="00313F96"/>
    <w:rsid w:val="003140E0"/>
    <w:rsid w:val="00314250"/>
    <w:rsid w:val="00314366"/>
    <w:rsid w:val="00314389"/>
    <w:rsid w:val="003144F2"/>
    <w:rsid w:val="00314976"/>
    <w:rsid w:val="00314977"/>
    <w:rsid w:val="00314CB8"/>
    <w:rsid w:val="00314E4E"/>
    <w:rsid w:val="0031504E"/>
    <w:rsid w:val="00315077"/>
    <w:rsid w:val="00315085"/>
    <w:rsid w:val="0031521B"/>
    <w:rsid w:val="00315373"/>
    <w:rsid w:val="00315407"/>
    <w:rsid w:val="003157B3"/>
    <w:rsid w:val="00315D72"/>
    <w:rsid w:val="00316306"/>
    <w:rsid w:val="00316C5B"/>
    <w:rsid w:val="00317636"/>
    <w:rsid w:val="00317A96"/>
    <w:rsid w:val="003207B7"/>
    <w:rsid w:val="003207FB"/>
    <w:rsid w:val="00320AD1"/>
    <w:rsid w:val="00320E5A"/>
    <w:rsid w:val="00321000"/>
    <w:rsid w:val="00321098"/>
    <w:rsid w:val="003212ED"/>
    <w:rsid w:val="003214D3"/>
    <w:rsid w:val="00321551"/>
    <w:rsid w:val="00321B6F"/>
    <w:rsid w:val="00321FF9"/>
    <w:rsid w:val="003223F5"/>
    <w:rsid w:val="003226DD"/>
    <w:rsid w:val="00322FED"/>
    <w:rsid w:val="00323408"/>
    <w:rsid w:val="003236B2"/>
    <w:rsid w:val="003241C2"/>
    <w:rsid w:val="00324520"/>
    <w:rsid w:val="0032455C"/>
    <w:rsid w:val="00324A59"/>
    <w:rsid w:val="00324B1A"/>
    <w:rsid w:val="00324B27"/>
    <w:rsid w:val="00324C19"/>
    <w:rsid w:val="00325034"/>
    <w:rsid w:val="003253D8"/>
    <w:rsid w:val="00325686"/>
    <w:rsid w:val="0032593D"/>
    <w:rsid w:val="00325DA1"/>
    <w:rsid w:val="00325DFE"/>
    <w:rsid w:val="00325FA6"/>
    <w:rsid w:val="003261EC"/>
    <w:rsid w:val="00326B13"/>
    <w:rsid w:val="00326E23"/>
    <w:rsid w:val="00326F28"/>
    <w:rsid w:val="00327182"/>
    <w:rsid w:val="003275CC"/>
    <w:rsid w:val="00327764"/>
    <w:rsid w:val="00327B7D"/>
    <w:rsid w:val="00327E35"/>
    <w:rsid w:val="0033041E"/>
    <w:rsid w:val="0033075B"/>
    <w:rsid w:val="0033090A"/>
    <w:rsid w:val="00330E44"/>
    <w:rsid w:val="00331687"/>
    <w:rsid w:val="0033195C"/>
    <w:rsid w:val="00331A2C"/>
    <w:rsid w:val="0033226F"/>
    <w:rsid w:val="00332474"/>
    <w:rsid w:val="00332A90"/>
    <w:rsid w:val="00332C7E"/>
    <w:rsid w:val="00332F92"/>
    <w:rsid w:val="003333B8"/>
    <w:rsid w:val="003335F4"/>
    <w:rsid w:val="003337B9"/>
    <w:rsid w:val="00333943"/>
    <w:rsid w:val="00333FE7"/>
    <w:rsid w:val="00334061"/>
    <w:rsid w:val="003342CF"/>
    <w:rsid w:val="00334303"/>
    <w:rsid w:val="0033508B"/>
    <w:rsid w:val="003357D6"/>
    <w:rsid w:val="00335875"/>
    <w:rsid w:val="0033589A"/>
    <w:rsid w:val="00335ADD"/>
    <w:rsid w:val="00335D54"/>
    <w:rsid w:val="0033611C"/>
    <w:rsid w:val="00336780"/>
    <w:rsid w:val="003369E3"/>
    <w:rsid w:val="00336B05"/>
    <w:rsid w:val="00336BEE"/>
    <w:rsid w:val="00336E98"/>
    <w:rsid w:val="0033712B"/>
    <w:rsid w:val="00337566"/>
    <w:rsid w:val="003375F8"/>
    <w:rsid w:val="0033775F"/>
    <w:rsid w:val="00337DFF"/>
    <w:rsid w:val="00337FD0"/>
    <w:rsid w:val="00337FD7"/>
    <w:rsid w:val="003402C1"/>
    <w:rsid w:val="0034053E"/>
    <w:rsid w:val="00340544"/>
    <w:rsid w:val="003406EC"/>
    <w:rsid w:val="003406F6"/>
    <w:rsid w:val="00340840"/>
    <w:rsid w:val="00341100"/>
    <w:rsid w:val="00341413"/>
    <w:rsid w:val="003416AD"/>
    <w:rsid w:val="003417EC"/>
    <w:rsid w:val="003418A4"/>
    <w:rsid w:val="00341CE9"/>
    <w:rsid w:val="00341D2B"/>
    <w:rsid w:val="00341DA4"/>
    <w:rsid w:val="00342453"/>
    <w:rsid w:val="00342520"/>
    <w:rsid w:val="003427D3"/>
    <w:rsid w:val="00342F6E"/>
    <w:rsid w:val="00343276"/>
    <w:rsid w:val="00343475"/>
    <w:rsid w:val="003434E2"/>
    <w:rsid w:val="00343960"/>
    <w:rsid w:val="00343C95"/>
    <w:rsid w:val="00343F00"/>
    <w:rsid w:val="00344028"/>
    <w:rsid w:val="0034403D"/>
    <w:rsid w:val="0034461A"/>
    <w:rsid w:val="00344630"/>
    <w:rsid w:val="0034467F"/>
    <w:rsid w:val="00344C67"/>
    <w:rsid w:val="00344C6A"/>
    <w:rsid w:val="003452CC"/>
    <w:rsid w:val="0034567E"/>
    <w:rsid w:val="003459F1"/>
    <w:rsid w:val="00345DDB"/>
    <w:rsid w:val="00346106"/>
    <w:rsid w:val="0034630E"/>
    <w:rsid w:val="00346567"/>
    <w:rsid w:val="003466DE"/>
    <w:rsid w:val="0034718E"/>
    <w:rsid w:val="003478B2"/>
    <w:rsid w:val="003478D3"/>
    <w:rsid w:val="00347D1F"/>
    <w:rsid w:val="00347D69"/>
    <w:rsid w:val="003504FB"/>
    <w:rsid w:val="003505CF"/>
    <w:rsid w:val="0035072C"/>
    <w:rsid w:val="00350944"/>
    <w:rsid w:val="00350EBB"/>
    <w:rsid w:val="003515FA"/>
    <w:rsid w:val="00351700"/>
    <w:rsid w:val="00351A3E"/>
    <w:rsid w:val="00351D51"/>
    <w:rsid w:val="00351DDC"/>
    <w:rsid w:val="003522C4"/>
    <w:rsid w:val="003522F4"/>
    <w:rsid w:val="003529BB"/>
    <w:rsid w:val="00352D73"/>
    <w:rsid w:val="00352E9D"/>
    <w:rsid w:val="00352EDF"/>
    <w:rsid w:val="00353815"/>
    <w:rsid w:val="00353A34"/>
    <w:rsid w:val="00353F95"/>
    <w:rsid w:val="003545BF"/>
    <w:rsid w:val="00354B3F"/>
    <w:rsid w:val="00354D85"/>
    <w:rsid w:val="00355112"/>
    <w:rsid w:val="00355502"/>
    <w:rsid w:val="003556EA"/>
    <w:rsid w:val="003558FF"/>
    <w:rsid w:val="00355C11"/>
    <w:rsid w:val="00355EDE"/>
    <w:rsid w:val="00355FF1"/>
    <w:rsid w:val="00356674"/>
    <w:rsid w:val="00356C68"/>
    <w:rsid w:val="00357194"/>
    <w:rsid w:val="003572A0"/>
    <w:rsid w:val="0035748D"/>
    <w:rsid w:val="003576EF"/>
    <w:rsid w:val="00357717"/>
    <w:rsid w:val="00357A6F"/>
    <w:rsid w:val="00357B91"/>
    <w:rsid w:val="00357F15"/>
    <w:rsid w:val="00360343"/>
    <w:rsid w:val="00361120"/>
    <w:rsid w:val="003611DF"/>
    <w:rsid w:val="00361204"/>
    <w:rsid w:val="00361904"/>
    <w:rsid w:val="00361AFC"/>
    <w:rsid w:val="00361C9F"/>
    <w:rsid w:val="00361DD1"/>
    <w:rsid w:val="003620D7"/>
    <w:rsid w:val="00362A79"/>
    <w:rsid w:val="00362DF7"/>
    <w:rsid w:val="003632B1"/>
    <w:rsid w:val="003633B5"/>
    <w:rsid w:val="003633FF"/>
    <w:rsid w:val="003635BC"/>
    <w:rsid w:val="003636D2"/>
    <w:rsid w:val="003638CD"/>
    <w:rsid w:val="00363BD6"/>
    <w:rsid w:val="00363D7F"/>
    <w:rsid w:val="00364354"/>
    <w:rsid w:val="00364E2C"/>
    <w:rsid w:val="00364EBC"/>
    <w:rsid w:val="00365003"/>
    <w:rsid w:val="003653FC"/>
    <w:rsid w:val="003654AF"/>
    <w:rsid w:val="00366066"/>
    <w:rsid w:val="00366101"/>
    <w:rsid w:val="00366C71"/>
    <w:rsid w:val="0036737A"/>
    <w:rsid w:val="00367478"/>
    <w:rsid w:val="00367D69"/>
    <w:rsid w:val="0037048A"/>
    <w:rsid w:val="003704A2"/>
    <w:rsid w:val="003705A0"/>
    <w:rsid w:val="003707D3"/>
    <w:rsid w:val="003710B0"/>
    <w:rsid w:val="00371243"/>
    <w:rsid w:val="00371ADC"/>
    <w:rsid w:val="00371B2F"/>
    <w:rsid w:val="00371B81"/>
    <w:rsid w:val="00371F0A"/>
    <w:rsid w:val="003720A2"/>
    <w:rsid w:val="00372718"/>
    <w:rsid w:val="003729EC"/>
    <w:rsid w:val="00372B0A"/>
    <w:rsid w:val="00372B18"/>
    <w:rsid w:val="00372D77"/>
    <w:rsid w:val="0037318C"/>
    <w:rsid w:val="00373297"/>
    <w:rsid w:val="0037337C"/>
    <w:rsid w:val="00373594"/>
    <w:rsid w:val="003739AF"/>
    <w:rsid w:val="00373A9D"/>
    <w:rsid w:val="003740C5"/>
    <w:rsid w:val="00374792"/>
    <w:rsid w:val="00374988"/>
    <w:rsid w:val="00374998"/>
    <w:rsid w:val="003749C1"/>
    <w:rsid w:val="00374D6F"/>
    <w:rsid w:val="0037508D"/>
    <w:rsid w:val="003751BA"/>
    <w:rsid w:val="003751CD"/>
    <w:rsid w:val="00375259"/>
    <w:rsid w:val="003752F6"/>
    <w:rsid w:val="0037557F"/>
    <w:rsid w:val="00375586"/>
    <w:rsid w:val="0037561C"/>
    <w:rsid w:val="003757FA"/>
    <w:rsid w:val="00375BCA"/>
    <w:rsid w:val="003760D7"/>
    <w:rsid w:val="003761B4"/>
    <w:rsid w:val="00376718"/>
    <w:rsid w:val="003767E9"/>
    <w:rsid w:val="00376D0C"/>
    <w:rsid w:val="00376E5A"/>
    <w:rsid w:val="00377C35"/>
    <w:rsid w:val="003800C1"/>
    <w:rsid w:val="00380144"/>
    <w:rsid w:val="00380309"/>
    <w:rsid w:val="0038076B"/>
    <w:rsid w:val="00380F4F"/>
    <w:rsid w:val="00381428"/>
    <w:rsid w:val="00381C1B"/>
    <w:rsid w:val="003820CA"/>
    <w:rsid w:val="003820FE"/>
    <w:rsid w:val="00382229"/>
    <w:rsid w:val="003826B0"/>
    <w:rsid w:val="003827B4"/>
    <w:rsid w:val="00382A00"/>
    <w:rsid w:val="00382C0E"/>
    <w:rsid w:val="00383BC7"/>
    <w:rsid w:val="00383C1D"/>
    <w:rsid w:val="00383CE7"/>
    <w:rsid w:val="00383D15"/>
    <w:rsid w:val="00383F2C"/>
    <w:rsid w:val="00384047"/>
    <w:rsid w:val="003842AF"/>
    <w:rsid w:val="0038431E"/>
    <w:rsid w:val="003849D8"/>
    <w:rsid w:val="00384B95"/>
    <w:rsid w:val="00384BA7"/>
    <w:rsid w:val="00384F0F"/>
    <w:rsid w:val="003853C6"/>
    <w:rsid w:val="0038590D"/>
    <w:rsid w:val="00385A9B"/>
    <w:rsid w:val="00385AD6"/>
    <w:rsid w:val="00385B08"/>
    <w:rsid w:val="00385E66"/>
    <w:rsid w:val="00386015"/>
    <w:rsid w:val="00386031"/>
    <w:rsid w:val="003861EE"/>
    <w:rsid w:val="003861F3"/>
    <w:rsid w:val="0038633F"/>
    <w:rsid w:val="003865CF"/>
    <w:rsid w:val="003866B6"/>
    <w:rsid w:val="003866F5"/>
    <w:rsid w:val="0038670C"/>
    <w:rsid w:val="00386865"/>
    <w:rsid w:val="003869C4"/>
    <w:rsid w:val="00386D46"/>
    <w:rsid w:val="00386FD5"/>
    <w:rsid w:val="00387292"/>
    <w:rsid w:val="00387575"/>
    <w:rsid w:val="00387CC0"/>
    <w:rsid w:val="00387D92"/>
    <w:rsid w:val="0039000A"/>
    <w:rsid w:val="00390123"/>
    <w:rsid w:val="00390248"/>
    <w:rsid w:val="003902D3"/>
    <w:rsid w:val="00390475"/>
    <w:rsid w:val="003905EC"/>
    <w:rsid w:val="00390B6E"/>
    <w:rsid w:val="00390B9F"/>
    <w:rsid w:val="003910EB"/>
    <w:rsid w:val="0039113A"/>
    <w:rsid w:val="00391672"/>
    <w:rsid w:val="00391770"/>
    <w:rsid w:val="003918E2"/>
    <w:rsid w:val="00391C4D"/>
    <w:rsid w:val="00391EB6"/>
    <w:rsid w:val="00391F22"/>
    <w:rsid w:val="0039200E"/>
    <w:rsid w:val="003929FC"/>
    <w:rsid w:val="00392CC8"/>
    <w:rsid w:val="00392FC9"/>
    <w:rsid w:val="003930B4"/>
    <w:rsid w:val="00393484"/>
    <w:rsid w:val="003938FC"/>
    <w:rsid w:val="003939AA"/>
    <w:rsid w:val="00393B10"/>
    <w:rsid w:val="00393BB1"/>
    <w:rsid w:val="0039429C"/>
    <w:rsid w:val="003945E7"/>
    <w:rsid w:val="003946A2"/>
    <w:rsid w:val="00394717"/>
    <w:rsid w:val="00394891"/>
    <w:rsid w:val="00394894"/>
    <w:rsid w:val="0039508D"/>
    <w:rsid w:val="00395454"/>
    <w:rsid w:val="003954ED"/>
    <w:rsid w:val="00395550"/>
    <w:rsid w:val="003955C0"/>
    <w:rsid w:val="00395969"/>
    <w:rsid w:val="00395B7F"/>
    <w:rsid w:val="003960AB"/>
    <w:rsid w:val="003962F7"/>
    <w:rsid w:val="003965D9"/>
    <w:rsid w:val="00396658"/>
    <w:rsid w:val="0039688B"/>
    <w:rsid w:val="00396A32"/>
    <w:rsid w:val="003970F7"/>
    <w:rsid w:val="00397734"/>
    <w:rsid w:val="003979E2"/>
    <w:rsid w:val="003A03FF"/>
    <w:rsid w:val="003A0A05"/>
    <w:rsid w:val="003A0D92"/>
    <w:rsid w:val="003A14CD"/>
    <w:rsid w:val="003A19D6"/>
    <w:rsid w:val="003A1B59"/>
    <w:rsid w:val="003A1CA5"/>
    <w:rsid w:val="003A224B"/>
    <w:rsid w:val="003A2270"/>
    <w:rsid w:val="003A24B7"/>
    <w:rsid w:val="003A2684"/>
    <w:rsid w:val="003A2A84"/>
    <w:rsid w:val="003A2B91"/>
    <w:rsid w:val="003A2DC9"/>
    <w:rsid w:val="003A2E9D"/>
    <w:rsid w:val="003A2FDE"/>
    <w:rsid w:val="003A3964"/>
    <w:rsid w:val="003A3B8B"/>
    <w:rsid w:val="003A4559"/>
    <w:rsid w:val="003A4844"/>
    <w:rsid w:val="003A4900"/>
    <w:rsid w:val="003A49D2"/>
    <w:rsid w:val="003A4CBA"/>
    <w:rsid w:val="003A5C09"/>
    <w:rsid w:val="003A5E29"/>
    <w:rsid w:val="003A5E82"/>
    <w:rsid w:val="003A5FC8"/>
    <w:rsid w:val="003A604E"/>
    <w:rsid w:val="003A6292"/>
    <w:rsid w:val="003A6878"/>
    <w:rsid w:val="003A6A3C"/>
    <w:rsid w:val="003A71AA"/>
    <w:rsid w:val="003A765E"/>
    <w:rsid w:val="003A780B"/>
    <w:rsid w:val="003A7B1C"/>
    <w:rsid w:val="003A7BBD"/>
    <w:rsid w:val="003A7E60"/>
    <w:rsid w:val="003B0227"/>
    <w:rsid w:val="003B0379"/>
    <w:rsid w:val="003B0555"/>
    <w:rsid w:val="003B0F4B"/>
    <w:rsid w:val="003B10AC"/>
    <w:rsid w:val="003B1BC0"/>
    <w:rsid w:val="003B1C4D"/>
    <w:rsid w:val="003B1E0C"/>
    <w:rsid w:val="003B21FD"/>
    <w:rsid w:val="003B23B4"/>
    <w:rsid w:val="003B26B2"/>
    <w:rsid w:val="003B2957"/>
    <w:rsid w:val="003B2E78"/>
    <w:rsid w:val="003B2E9E"/>
    <w:rsid w:val="003B2FDE"/>
    <w:rsid w:val="003B35A1"/>
    <w:rsid w:val="003B360C"/>
    <w:rsid w:val="003B3849"/>
    <w:rsid w:val="003B3B11"/>
    <w:rsid w:val="003B3DFB"/>
    <w:rsid w:val="003B3EBF"/>
    <w:rsid w:val="003B4324"/>
    <w:rsid w:val="003B4707"/>
    <w:rsid w:val="003B48B6"/>
    <w:rsid w:val="003B49F0"/>
    <w:rsid w:val="003B4A0C"/>
    <w:rsid w:val="003B4ACB"/>
    <w:rsid w:val="003B4BA2"/>
    <w:rsid w:val="003B4D98"/>
    <w:rsid w:val="003B4F11"/>
    <w:rsid w:val="003B4FB2"/>
    <w:rsid w:val="003B505F"/>
    <w:rsid w:val="003B54DD"/>
    <w:rsid w:val="003B5A5F"/>
    <w:rsid w:val="003B5B44"/>
    <w:rsid w:val="003B5DED"/>
    <w:rsid w:val="003B5FF1"/>
    <w:rsid w:val="003B65A3"/>
    <w:rsid w:val="003B6658"/>
    <w:rsid w:val="003B6784"/>
    <w:rsid w:val="003B6860"/>
    <w:rsid w:val="003B6D67"/>
    <w:rsid w:val="003B710F"/>
    <w:rsid w:val="003B7695"/>
    <w:rsid w:val="003B7B9B"/>
    <w:rsid w:val="003B7D75"/>
    <w:rsid w:val="003B7DD9"/>
    <w:rsid w:val="003C0055"/>
    <w:rsid w:val="003C037D"/>
    <w:rsid w:val="003C134D"/>
    <w:rsid w:val="003C17DB"/>
    <w:rsid w:val="003C1A51"/>
    <w:rsid w:val="003C1AC0"/>
    <w:rsid w:val="003C1D3D"/>
    <w:rsid w:val="003C2189"/>
    <w:rsid w:val="003C23A0"/>
    <w:rsid w:val="003C2436"/>
    <w:rsid w:val="003C2581"/>
    <w:rsid w:val="003C2583"/>
    <w:rsid w:val="003C2A61"/>
    <w:rsid w:val="003C2AD6"/>
    <w:rsid w:val="003C2D18"/>
    <w:rsid w:val="003C2D40"/>
    <w:rsid w:val="003C2E3A"/>
    <w:rsid w:val="003C3092"/>
    <w:rsid w:val="003C32DF"/>
    <w:rsid w:val="003C359F"/>
    <w:rsid w:val="003C3814"/>
    <w:rsid w:val="003C38DB"/>
    <w:rsid w:val="003C3BBA"/>
    <w:rsid w:val="003C3CC0"/>
    <w:rsid w:val="003C3D70"/>
    <w:rsid w:val="003C4077"/>
    <w:rsid w:val="003C427A"/>
    <w:rsid w:val="003C4A2D"/>
    <w:rsid w:val="003C4ADE"/>
    <w:rsid w:val="003C4D4C"/>
    <w:rsid w:val="003C590B"/>
    <w:rsid w:val="003C5B29"/>
    <w:rsid w:val="003C5BEF"/>
    <w:rsid w:val="003C5CB8"/>
    <w:rsid w:val="003C5CC1"/>
    <w:rsid w:val="003C5CD6"/>
    <w:rsid w:val="003C6356"/>
    <w:rsid w:val="003C6440"/>
    <w:rsid w:val="003C68E8"/>
    <w:rsid w:val="003C6971"/>
    <w:rsid w:val="003C69AA"/>
    <w:rsid w:val="003C6C19"/>
    <w:rsid w:val="003C6C63"/>
    <w:rsid w:val="003C6CA5"/>
    <w:rsid w:val="003C6D04"/>
    <w:rsid w:val="003C6FEB"/>
    <w:rsid w:val="003C7239"/>
    <w:rsid w:val="003C74DA"/>
    <w:rsid w:val="003C7725"/>
    <w:rsid w:val="003C7879"/>
    <w:rsid w:val="003C78E5"/>
    <w:rsid w:val="003C79BF"/>
    <w:rsid w:val="003C79EE"/>
    <w:rsid w:val="003C7BC7"/>
    <w:rsid w:val="003C7C73"/>
    <w:rsid w:val="003C7EBA"/>
    <w:rsid w:val="003C7F33"/>
    <w:rsid w:val="003D0074"/>
    <w:rsid w:val="003D00C6"/>
    <w:rsid w:val="003D0115"/>
    <w:rsid w:val="003D03DB"/>
    <w:rsid w:val="003D03F4"/>
    <w:rsid w:val="003D0CFF"/>
    <w:rsid w:val="003D0E1A"/>
    <w:rsid w:val="003D10D3"/>
    <w:rsid w:val="003D1589"/>
    <w:rsid w:val="003D2252"/>
    <w:rsid w:val="003D22F7"/>
    <w:rsid w:val="003D258E"/>
    <w:rsid w:val="003D2AEA"/>
    <w:rsid w:val="003D2C8E"/>
    <w:rsid w:val="003D2FDE"/>
    <w:rsid w:val="003D3108"/>
    <w:rsid w:val="003D33C9"/>
    <w:rsid w:val="003D3DAE"/>
    <w:rsid w:val="003D4781"/>
    <w:rsid w:val="003D4D59"/>
    <w:rsid w:val="003D4E60"/>
    <w:rsid w:val="003D4E81"/>
    <w:rsid w:val="003D4F2C"/>
    <w:rsid w:val="003D5004"/>
    <w:rsid w:val="003D5021"/>
    <w:rsid w:val="003D5122"/>
    <w:rsid w:val="003D5286"/>
    <w:rsid w:val="003D5A5D"/>
    <w:rsid w:val="003D5D1D"/>
    <w:rsid w:val="003D60B0"/>
    <w:rsid w:val="003D666A"/>
    <w:rsid w:val="003D67D0"/>
    <w:rsid w:val="003D6BD9"/>
    <w:rsid w:val="003D6FA9"/>
    <w:rsid w:val="003D76FB"/>
    <w:rsid w:val="003D7E86"/>
    <w:rsid w:val="003D7F56"/>
    <w:rsid w:val="003E01AF"/>
    <w:rsid w:val="003E040E"/>
    <w:rsid w:val="003E041E"/>
    <w:rsid w:val="003E0575"/>
    <w:rsid w:val="003E0986"/>
    <w:rsid w:val="003E09DF"/>
    <w:rsid w:val="003E0BA3"/>
    <w:rsid w:val="003E0C94"/>
    <w:rsid w:val="003E1240"/>
    <w:rsid w:val="003E12C0"/>
    <w:rsid w:val="003E130C"/>
    <w:rsid w:val="003E1CBC"/>
    <w:rsid w:val="003E1E1B"/>
    <w:rsid w:val="003E222A"/>
    <w:rsid w:val="003E229C"/>
    <w:rsid w:val="003E22A8"/>
    <w:rsid w:val="003E2483"/>
    <w:rsid w:val="003E2505"/>
    <w:rsid w:val="003E2F6C"/>
    <w:rsid w:val="003E36C8"/>
    <w:rsid w:val="003E39A3"/>
    <w:rsid w:val="003E41BC"/>
    <w:rsid w:val="003E43A8"/>
    <w:rsid w:val="003E4DD5"/>
    <w:rsid w:val="003E4FEA"/>
    <w:rsid w:val="003E52EE"/>
    <w:rsid w:val="003E564C"/>
    <w:rsid w:val="003E56C0"/>
    <w:rsid w:val="003E5788"/>
    <w:rsid w:val="003E59E8"/>
    <w:rsid w:val="003E6277"/>
    <w:rsid w:val="003E6A1E"/>
    <w:rsid w:val="003E7240"/>
    <w:rsid w:val="003E74C7"/>
    <w:rsid w:val="003E75DD"/>
    <w:rsid w:val="003E7647"/>
    <w:rsid w:val="003E7648"/>
    <w:rsid w:val="003E794A"/>
    <w:rsid w:val="003E7BA5"/>
    <w:rsid w:val="003E7C8D"/>
    <w:rsid w:val="003F00F6"/>
    <w:rsid w:val="003F02FF"/>
    <w:rsid w:val="003F0D61"/>
    <w:rsid w:val="003F0EDD"/>
    <w:rsid w:val="003F1CB6"/>
    <w:rsid w:val="003F2240"/>
    <w:rsid w:val="003F2329"/>
    <w:rsid w:val="003F2489"/>
    <w:rsid w:val="003F2A89"/>
    <w:rsid w:val="003F32A7"/>
    <w:rsid w:val="003F330C"/>
    <w:rsid w:val="003F34AD"/>
    <w:rsid w:val="003F421C"/>
    <w:rsid w:val="003F43F3"/>
    <w:rsid w:val="003F4734"/>
    <w:rsid w:val="003F483D"/>
    <w:rsid w:val="003F4902"/>
    <w:rsid w:val="003F493E"/>
    <w:rsid w:val="003F497D"/>
    <w:rsid w:val="003F508E"/>
    <w:rsid w:val="003F51F1"/>
    <w:rsid w:val="003F5479"/>
    <w:rsid w:val="003F55F7"/>
    <w:rsid w:val="003F5645"/>
    <w:rsid w:val="003F610E"/>
    <w:rsid w:val="003F660C"/>
    <w:rsid w:val="003F6646"/>
    <w:rsid w:val="003F6868"/>
    <w:rsid w:val="003F731D"/>
    <w:rsid w:val="003F7725"/>
    <w:rsid w:val="003F7DAB"/>
    <w:rsid w:val="003F7F29"/>
    <w:rsid w:val="004000F8"/>
    <w:rsid w:val="0040071E"/>
    <w:rsid w:val="0040093A"/>
    <w:rsid w:val="00400CD3"/>
    <w:rsid w:val="00400DB9"/>
    <w:rsid w:val="004013CD"/>
    <w:rsid w:val="0040151D"/>
    <w:rsid w:val="00401A27"/>
    <w:rsid w:val="00401C06"/>
    <w:rsid w:val="00401D0C"/>
    <w:rsid w:val="004022B7"/>
    <w:rsid w:val="00402858"/>
    <w:rsid w:val="0040292B"/>
    <w:rsid w:val="00402AE1"/>
    <w:rsid w:val="00402C9C"/>
    <w:rsid w:val="00403095"/>
    <w:rsid w:val="00403099"/>
    <w:rsid w:val="004038EE"/>
    <w:rsid w:val="00403A03"/>
    <w:rsid w:val="00403C6D"/>
    <w:rsid w:val="00403CD6"/>
    <w:rsid w:val="00403EFB"/>
    <w:rsid w:val="0040404E"/>
    <w:rsid w:val="0040424D"/>
    <w:rsid w:val="004042CF"/>
    <w:rsid w:val="00404445"/>
    <w:rsid w:val="00404907"/>
    <w:rsid w:val="00404A28"/>
    <w:rsid w:val="00404A5E"/>
    <w:rsid w:val="00404BE2"/>
    <w:rsid w:val="00404F08"/>
    <w:rsid w:val="004058C1"/>
    <w:rsid w:val="00405C07"/>
    <w:rsid w:val="00406287"/>
    <w:rsid w:val="00406445"/>
    <w:rsid w:val="004066B7"/>
    <w:rsid w:val="004068AB"/>
    <w:rsid w:val="00406A52"/>
    <w:rsid w:val="00407083"/>
    <w:rsid w:val="00407350"/>
    <w:rsid w:val="00407411"/>
    <w:rsid w:val="0040761B"/>
    <w:rsid w:val="0040779E"/>
    <w:rsid w:val="00407CD9"/>
    <w:rsid w:val="004101DF"/>
    <w:rsid w:val="004106F9"/>
    <w:rsid w:val="00410913"/>
    <w:rsid w:val="00410A52"/>
    <w:rsid w:val="00410B7E"/>
    <w:rsid w:val="00411213"/>
    <w:rsid w:val="00411559"/>
    <w:rsid w:val="00411572"/>
    <w:rsid w:val="004115BC"/>
    <w:rsid w:val="0041250A"/>
    <w:rsid w:val="004125EF"/>
    <w:rsid w:val="004128C1"/>
    <w:rsid w:val="00412B3A"/>
    <w:rsid w:val="00413270"/>
    <w:rsid w:val="0041331F"/>
    <w:rsid w:val="004137E4"/>
    <w:rsid w:val="00413F26"/>
    <w:rsid w:val="00414223"/>
    <w:rsid w:val="004143DA"/>
    <w:rsid w:val="0041478D"/>
    <w:rsid w:val="0041492F"/>
    <w:rsid w:val="004149BF"/>
    <w:rsid w:val="00414C3A"/>
    <w:rsid w:val="00414E65"/>
    <w:rsid w:val="0041531A"/>
    <w:rsid w:val="00415704"/>
    <w:rsid w:val="00415B55"/>
    <w:rsid w:val="0041608B"/>
    <w:rsid w:val="00416A59"/>
    <w:rsid w:val="00416DFC"/>
    <w:rsid w:val="004175FE"/>
    <w:rsid w:val="0042006B"/>
    <w:rsid w:val="004202F3"/>
    <w:rsid w:val="00420370"/>
    <w:rsid w:val="00420549"/>
    <w:rsid w:val="004208D3"/>
    <w:rsid w:val="004208F6"/>
    <w:rsid w:val="00420B29"/>
    <w:rsid w:val="00421009"/>
    <w:rsid w:val="004215EA"/>
    <w:rsid w:val="00421649"/>
    <w:rsid w:val="0042176B"/>
    <w:rsid w:val="00421B91"/>
    <w:rsid w:val="00421F5E"/>
    <w:rsid w:val="004225D9"/>
    <w:rsid w:val="0042269A"/>
    <w:rsid w:val="00422A52"/>
    <w:rsid w:val="00423297"/>
    <w:rsid w:val="004235B0"/>
    <w:rsid w:val="00423E5D"/>
    <w:rsid w:val="00424257"/>
    <w:rsid w:val="00424290"/>
    <w:rsid w:val="00425341"/>
    <w:rsid w:val="004255A5"/>
    <w:rsid w:val="00425670"/>
    <w:rsid w:val="00425992"/>
    <w:rsid w:val="00425B34"/>
    <w:rsid w:val="00425B7C"/>
    <w:rsid w:val="00425B8A"/>
    <w:rsid w:val="00425F10"/>
    <w:rsid w:val="00425F2B"/>
    <w:rsid w:val="004260DF"/>
    <w:rsid w:val="00426161"/>
    <w:rsid w:val="004262DC"/>
    <w:rsid w:val="00426A8B"/>
    <w:rsid w:val="00426B67"/>
    <w:rsid w:val="00426D45"/>
    <w:rsid w:val="0042713E"/>
    <w:rsid w:val="00427255"/>
    <w:rsid w:val="004274E6"/>
    <w:rsid w:val="004278F6"/>
    <w:rsid w:val="00430196"/>
    <w:rsid w:val="00430573"/>
    <w:rsid w:val="00430661"/>
    <w:rsid w:val="004308A4"/>
    <w:rsid w:val="004308C6"/>
    <w:rsid w:val="0043098A"/>
    <w:rsid w:val="00430990"/>
    <w:rsid w:val="00430AC9"/>
    <w:rsid w:val="00431144"/>
    <w:rsid w:val="00431861"/>
    <w:rsid w:val="00431EFD"/>
    <w:rsid w:val="0043243A"/>
    <w:rsid w:val="00432568"/>
    <w:rsid w:val="0043257A"/>
    <w:rsid w:val="0043273A"/>
    <w:rsid w:val="00432A6A"/>
    <w:rsid w:val="00433079"/>
    <w:rsid w:val="00433A5B"/>
    <w:rsid w:val="00433A6D"/>
    <w:rsid w:val="00433F83"/>
    <w:rsid w:val="004343DF"/>
    <w:rsid w:val="0043483F"/>
    <w:rsid w:val="00434C53"/>
    <w:rsid w:val="00434DA4"/>
    <w:rsid w:val="00435110"/>
    <w:rsid w:val="004353B7"/>
    <w:rsid w:val="004357C6"/>
    <w:rsid w:val="00436C3E"/>
    <w:rsid w:val="00436DAD"/>
    <w:rsid w:val="00436F56"/>
    <w:rsid w:val="00436FBA"/>
    <w:rsid w:val="00437181"/>
    <w:rsid w:val="004379CA"/>
    <w:rsid w:val="00437BB2"/>
    <w:rsid w:val="00437F12"/>
    <w:rsid w:val="00440367"/>
    <w:rsid w:val="004406C6"/>
    <w:rsid w:val="004409AF"/>
    <w:rsid w:val="00440A9D"/>
    <w:rsid w:val="00440BC0"/>
    <w:rsid w:val="00440C86"/>
    <w:rsid w:val="00440CEA"/>
    <w:rsid w:val="00440E9B"/>
    <w:rsid w:val="00440F6B"/>
    <w:rsid w:val="004413AD"/>
    <w:rsid w:val="00441B47"/>
    <w:rsid w:val="00441BD1"/>
    <w:rsid w:val="00441CE5"/>
    <w:rsid w:val="00442234"/>
    <w:rsid w:val="004424DD"/>
    <w:rsid w:val="00442887"/>
    <w:rsid w:val="00442952"/>
    <w:rsid w:val="00442CB9"/>
    <w:rsid w:val="00442FE9"/>
    <w:rsid w:val="00443195"/>
    <w:rsid w:val="004431FA"/>
    <w:rsid w:val="004433A2"/>
    <w:rsid w:val="00443764"/>
    <w:rsid w:val="00443A32"/>
    <w:rsid w:val="00443C54"/>
    <w:rsid w:val="0044409B"/>
    <w:rsid w:val="004440DB"/>
    <w:rsid w:val="0044470D"/>
    <w:rsid w:val="00444A5D"/>
    <w:rsid w:val="00444A66"/>
    <w:rsid w:val="00444BF7"/>
    <w:rsid w:val="00444D3F"/>
    <w:rsid w:val="004452C0"/>
    <w:rsid w:val="004454A8"/>
    <w:rsid w:val="00445DA2"/>
    <w:rsid w:val="00446A47"/>
    <w:rsid w:val="00447062"/>
    <w:rsid w:val="00447243"/>
    <w:rsid w:val="00447257"/>
    <w:rsid w:val="00447B8E"/>
    <w:rsid w:val="0045009C"/>
    <w:rsid w:val="0045015B"/>
    <w:rsid w:val="0045015F"/>
    <w:rsid w:val="00450694"/>
    <w:rsid w:val="00450722"/>
    <w:rsid w:val="00450A13"/>
    <w:rsid w:val="00450AB7"/>
    <w:rsid w:val="00450AD4"/>
    <w:rsid w:val="00450BBE"/>
    <w:rsid w:val="00450FC2"/>
    <w:rsid w:val="00451D1E"/>
    <w:rsid w:val="00451FB9"/>
    <w:rsid w:val="004521B3"/>
    <w:rsid w:val="00452802"/>
    <w:rsid w:val="00452DE5"/>
    <w:rsid w:val="004531CD"/>
    <w:rsid w:val="00453305"/>
    <w:rsid w:val="00453343"/>
    <w:rsid w:val="004537AB"/>
    <w:rsid w:val="00453C72"/>
    <w:rsid w:val="00453D6F"/>
    <w:rsid w:val="00453DA4"/>
    <w:rsid w:val="00453F96"/>
    <w:rsid w:val="004544DF"/>
    <w:rsid w:val="004547C0"/>
    <w:rsid w:val="0045497E"/>
    <w:rsid w:val="00454A9D"/>
    <w:rsid w:val="00454BDA"/>
    <w:rsid w:val="00454D23"/>
    <w:rsid w:val="00454D37"/>
    <w:rsid w:val="004552A7"/>
    <w:rsid w:val="004553E6"/>
    <w:rsid w:val="004555B2"/>
    <w:rsid w:val="00455664"/>
    <w:rsid w:val="0045589B"/>
    <w:rsid w:val="004558EE"/>
    <w:rsid w:val="004559BA"/>
    <w:rsid w:val="00455E1A"/>
    <w:rsid w:val="004562F8"/>
    <w:rsid w:val="00456422"/>
    <w:rsid w:val="004564AE"/>
    <w:rsid w:val="00456522"/>
    <w:rsid w:val="004566EA"/>
    <w:rsid w:val="00456A77"/>
    <w:rsid w:val="00456F8C"/>
    <w:rsid w:val="00456FD9"/>
    <w:rsid w:val="00457204"/>
    <w:rsid w:val="004572FB"/>
    <w:rsid w:val="00457389"/>
    <w:rsid w:val="004574AB"/>
    <w:rsid w:val="0045756E"/>
    <w:rsid w:val="00457602"/>
    <w:rsid w:val="0045798A"/>
    <w:rsid w:val="00457B8C"/>
    <w:rsid w:val="004601A4"/>
    <w:rsid w:val="00460626"/>
    <w:rsid w:val="00460854"/>
    <w:rsid w:val="00460D0E"/>
    <w:rsid w:val="00460F59"/>
    <w:rsid w:val="0046109D"/>
    <w:rsid w:val="00461AE0"/>
    <w:rsid w:val="00461CB6"/>
    <w:rsid w:val="00461D81"/>
    <w:rsid w:val="00461F86"/>
    <w:rsid w:val="004620CD"/>
    <w:rsid w:val="004621BB"/>
    <w:rsid w:val="004622BF"/>
    <w:rsid w:val="004627C8"/>
    <w:rsid w:val="00462BE7"/>
    <w:rsid w:val="00462CB4"/>
    <w:rsid w:val="00462FE4"/>
    <w:rsid w:val="004632D8"/>
    <w:rsid w:val="004634C3"/>
    <w:rsid w:val="004635A2"/>
    <w:rsid w:val="00463682"/>
    <w:rsid w:val="0046377B"/>
    <w:rsid w:val="004637A3"/>
    <w:rsid w:val="00464008"/>
    <w:rsid w:val="00464745"/>
    <w:rsid w:val="00464C63"/>
    <w:rsid w:val="00465256"/>
    <w:rsid w:val="004659B7"/>
    <w:rsid w:val="00465A0A"/>
    <w:rsid w:val="00465ACA"/>
    <w:rsid w:val="00465D02"/>
    <w:rsid w:val="00466286"/>
    <w:rsid w:val="004664F2"/>
    <w:rsid w:val="00466585"/>
    <w:rsid w:val="004665E1"/>
    <w:rsid w:val="00466602"/>
    <w:rsid w:val="0046660E"/>
    <w:rsid w:val="0046670D"/>
    <w:rsid w:val="00466ACC"/>
    <w:rsid w:val="00466C1E"/>
    <w:rsid w:val="0046728B"/>
    <w:rsid w:val="004676E0"/>
    <w:rsid w:val="00467FC9"/>
    <w:rsid w:val="004701A5"/>
    <w:rsid w:val="0047037D"/>
    <w:rsid w:val="0047075A"/>
    <w:rsid w:val="00470883"/>
    <w:rsid w:val="00470AFD"/>
    <w:rsid w:val="00470E88"/>
    <w:rsid w:val="00470F9C"/>
    <w:rsid w:val="00471240"/>
    <w:rsid w:val="0047147E"/>
    <w:rsid w:val="00471B98"/>
    <w:rsid w:val="00471EA0"/>
    <w:rsid w:val="00472104"/>
    <w:rsid w:val="004724D3"/>
    <w:rsid w:val="00472504"/>
    <w:rsid w:val="0047290F"/>
    <w:rsid w:val="00473972"/>
    <w:rsid w:val="00473CDD"/>
    <w:rsid w:val="00473D2C"/>
    <w:rsid w:val="00473DBC"/>
    <w:rsid w:val="00473F29"/>
    <w:rsid w:val="004742FA"/>
    <w:rsid w:val="00474334"/>
    <w:rsid w:val="004743E4"/>
    <w:rsid w:val="00474600"/>
    <w:rsid w:val="004746C8"/>
    <w:rsid w:val="004747F2"/>
    <w:rsid w:val="00474856"/>
    <w:rsid w:val="00474C7B"/>
    <w:rsid w:val="00474EA0"/>
    <w:rsid w:val="00475006"/>
    <w:rsid w:val="00475027"/>
    <w:rsid w:val="00475330"/>
    <w:rsid w:val="0047657D"/>
    <w:rsid w:val="004765AC"/>
    <w:rsid w:val="004767AF"/>
    <w:rsid w:val="00476915"/>
    <w:rsid w:val="00476A47"/>
    <w:rsid w:val="00476BC3"/>
    <w:rsid w:val="0047714B"/>
    <w:rsid w:val="0047729B"/>
    <w:rsid w:val="0047733C"/>
    <w:rsid w:val="004774B9"/>
    <w:rsid w:val="00477929"/>
    <w:rsid w:val="00477C7F"/>
    <w:rsid w:val="004803DE"/>
    <w:rsid w:val="00480753"/>
    <w:rsid w:val="00480B26"/>
    <w:rsid w:val="00480CB1"/>
    <w:rsid w:val="00480F34"/>
    <w:rsid w:val="00481261"/>
    <w:rsid w:val="0048151C"/>
    <w:rsid w:val="00481531"/>
    <w:rsid w:val="004815DA"/>
    <w:rsid w:val="004817B9"/>
    <w:rsid w:val="004818DA"/>
    <w:rsid w:val="00482277"/>
    <w:rsid w:val="0048244D"/>
    <w:rsid w:val="004827C8"/>
    <w:rsid w:val="00482AC1"/>
    <w:rsid w:val="00482D32"/>
    <w:rsid w:val="00482DD9"/>
    <w:rsid w:val="00482DF8"/>
    <w:rsid w:val="004831B8"/>
    <w:rsid w:val="00483352"/>
    <w:rsid w:val="004837EC"/>
    <w:rsid w:val="00483946"/>
    <w:rsid w:val="00483966"/>
    <w:rsid w:val="00483A92"/>
    <w:rsid w:val="00483B61"/>
    <w:rsid w:val="00483C28"/>
    <w:rsid w:val="00483E38"/>
    <w:rsid w:val="00483EB4"/>
    <w:rsid w:val="00483F53"/>
    <w:rsid w:val="004840E7"/>
    <w:rsid w:val="004844D5"/>
    <w:rsid w:val="00484C3D"/>
    <w:rsid w:val="00484CCE"/>
    <w:rsid w:val="00484D1A"/>
    <w:rsid w:val="00485096"/>
    <w:rsid w:val="004855AB"/>
    <w:rsid w:val="0048572A"/>
    <w:rsid w:val="00485C48"/>
    <w:rsid w:val="00486055"/>
    <w:rsid w:val="00486131"/>
    <w:rsid w:val="004861ED"/>
    <w:rsid w:val="004863D2"/>
    <w:rsid w:val="004865DB"/>
    <w:rsid w:val="00486859"/>
    <w:rsid w:val="004875BC"/>
    <w:rsid w:val="00487866"/>
    <w:rsid w:val="00487A49"/>
    <w:rsid w:val="00487A5C"/>
    <w:rsid w:val="00487AE4"/>
    <w:rsid w:val="00487FB1"/>
    <w:rsid w:val="00490558"/>
    <w:rsid w:val="004909A8"/>
    <w:rsid w:val="00490C1A"/>
    <w:rsid w:val="00491083"/>
    <w:rsid w:val="004910F0"/>
    <w:rsid w:val="00491184"/>
    <w:rsid w:val="004912AC"/>
    <w:rsid w:val="00491655"/>
    <w:rsid w:val="00491739"/>
    <w:rsid w:val="0049185E"/>
    <w:rsid w:val="004918A2"/>
    <w:rsid w:val="00491974"/>
    <w:rsid w:val="00491AB7"/>
    <w:rsid w:val="00491D49"/>
    <w:rsid w:val="00491E36"/>
    <w:rsid w:val="00492049"/>
    <w:rsid w:val="004921D5"/>
    <w:rsid w:val="0049236B"/>
    <w:rsid w:val="00492503"/>
    <w:rsid w:val="004927B2"/>
    <w:rsid w:val="004929C5"/>
    <w:rsid w:val="00492B84"/>
    <w:rsid w:val="00492E24"/>
    <w:rsid w:val="0049330B"/>
    <w:rsid w:val="004934F5"/>
    <w:rsid w:val="004938CE"/>
    <w:rsid w:val="0049392C"/>
    <w:rsid w:val="00493DE2"/>
    <w:rsid w:val="00493FC2"/>
    <w:rsid w:val="004941D5"/>
    <w:rsid w:val="004942D8"/>
    <w:rsid w:val="00494388"/>
    <w:rsid w:val="0049481B"/>
    <w:rsid w:val="00494A14"/>
    <w:rsid w:val="00494D58"/>
    <w:rsid w:val="00494E68"/>
    <w:rsid w:val="0049506C"/>
    <w:rsid w:val="004953F1"/>
    <w:rsid w:val="004957E2"/>
    <w:rsid w:val="00495B30"/>
    <w:rsid w:val="00495B9B"/>
    <w:rsid w:val="00495BE8"/>
    <w:rsid w:val="00495FB5"/>
    <w:rsid w:val="004967DD"/>
    <w:rsid w:val="00496AC5"/>
    <w:rsid w:val="00496CEF"/>
    <w:rsid w:val="00496D8B"/>
    <w:rsid w:val="00496D9F"/>
    <w:rsid w:val="00496E6D"/>
    <w:rsid w:val="00496F07"/>
    <w:rsid w:val="004972D8"/>
    <w:rsid w:val="00497527"/>
    <w:rsid w:val="00497780"/>
    <w:rsid w:val="00497BE5"/>
    <w:rsid w:val="004A0744"/>
    <w:rsid w:val="004A0997"/>
    <w:rsid w:val="004A0E6D"/>
    <w:rsid w:val="004A1010"/>
    <w:rsid w:val="004A14E5"/>
    <w:rsid w:val="004A15FB"/>
    <w:rsid w:val="004A174B"/>
    <w:rsid w:val="004A24FE"/>
    <w:rsid w:val="004A27F1"/>
    <w:rsid w:val="004A291B"/>
    <w:rsid w:val="004A2A1B"/>
    <w:rsid w:val="004A2D46"/>
    <w:rsid w:val="004A2E31"/>
    <w:rsid w:val="004A2EFB"/>
    <w:rsid w:val="004A3208"/>
    <w:rsid w:val="004A34FF"/>
    <w:rsid w:val="004A3C9E"/>
    <w:rsid w:val="004A3E77"/>
    <w:rsid w:val="004A3EF5"/>
    <w:rsid w:val="004A404C"/>
    <w:rsid w:val="004A42E1"/>
    <w:rsid w:val="004A4749"/>
    <w:rsid w:val="004A48FD"/>
    <w:rsid w:val="004A4951"/>
    <w:rsid w:val="004A4A49"/>
    <w:rsid w:val="004A4BD4"/>
    <w:rsid w:val="004A4F16"/>
    <w:rsid w:val="004A4F34"/>
    <w:rsid w:val="004A53AF"/>
    <w:rsid w:val="004A5640"/>
    <w:rsid w:val="004A592F"/>
    <w:rsid w:val="004A59C4"/>
    <w:rsid w:val="004A5EC5"/>
    <w:rsid w:val="004A6475"/>
    <w:rsid w:val="004A66F3"/>
    <w:rsid w:val="004A6A64"/>
    <w:rsid w:val="004A7663"/>
    <w:rsid w:val="004A7701"/>
    <w:rsid w:val="004A7713"/>
    <w:rsid w:val="004A799B"/>
    <w:rsid w:val="004A7D5B"/>
    <w:rsid w:val="004B04F6"/>
    <w:rsid w:val="004B0A8F"/>
    <w:rsid w:val="004B0FD9"/>
    <w:rsid w:val="004B1270"/>
    <w:rsid w:val="004B171A"/>
    <w:rsid w:val="004B1926"/>
    <w:rsid w:val="004B1B90"/>
    <w:rsid w:val="004B1D98"/>
    <w:rsid w:val="004B1E42"/>
    <w:rsid w:val="004B2031"/>
    <w:rsid w:val="004B2033"/>
    <w:rsid w:val="004B253F"/>
    <w:rsid w:val="004B2A1A"/>
    <w:rsid w:val="004B2B35"/>
    <w:rsid w:val="004B2CA0"/>
    <w:rsid w:val="004B35E4"/>
    <w:rsid w:val="004B3619"/>
    <w:rsid w:val="004B3846"/>
    <w:rsid w:val="004B3894"/>
    <w:rsid w:val="004B3A8E"/>
    <w:rsid w:val="004B3BE9"/>
    <w:rsid w:val="004B4C52"/>
    <w:rsid w:val="004B4CC5"/>
    <w:rsid w:val="004B4E81"/>
    <w:rsid w:val="004B4F91"/>
    <w:rsid w:val="004B5340"/>
    <w:rsid w:val="004B5419"/>
    <w:rsid w:val="004B5633"/>
    <w:rsid w:val="004B5A65"/>
    <w:rsid w:val="004B5E2F"/>
    <w:rsid w:val="004B62FC"/>
    <w:rsid w:val="004B6501"/>
    <w:rsid w:val="004B6618"/>
    <w:rsid w:val="004B66F4"/>
    <w:rsid w:val="004B66FE"/>
    <w:rsid w:val="004B675B"/>
    <w:rsid w:val="004B6E3F"/>
    <w:rsid w:val="004B6F4C"/>
    <w:rsid w:val="004B70A4"/>
    <w:rsid w:val="004B719A"/>
    <w:rsid w:val="004B782C"/>
    <w:rsid w:val="004B7931"/>
    <w:rsid w:val="004B799E"/>
    <w:rsid w:val="004B7F25"/>
    <w:rsid w:val="004C012F"/>
    <w:rsid w:val="004C01B6"/>
    <w:rsid w:val="004C01C8"/>
    <w:rsid w:val="004C02B9"/>
    <w:rsid w:val="004C0522"/>
    <w:rsid w:val="004C054A"/>
    <w:rsid w:val="004C0994"/>
    <w:rsid w:val="004C09DF"/>
    <w:rsid w:val="004C0D95"/>
    <w:rsid w:val="004C11DD"/>
    <w:rsid w:val="004C1380"/>
    <w:rsid w:val="004C1628"/>
    <w:rsid w:val="004C1916"/>
    <w:rsid w:val="004C2046"/>
    <w:rsid w:val="004C21F6"/>
    <w:rsid w:val="004C278F"/>
    <w:rsid w:val="004C29AC"/>
    <w:rsid w:val="004C2CE0"/>
    <w:rsid w:val="004C2D1D"/>
    <w:rsid w:val="004C2EFD"/>
    <w:rsid w:val="004C3117"/>
    <w:rsid w:val="004C3529"/>
    <w:rsid w:val="004C37A6"/>
    <w:rsid w:val="004C3BC5"/>
    <w:rsid w:val="004C4024"/>
    <w:rsid w:val="004C424B"/>
    <w:rsid w:val="004C4623"/>
    <w:rsid w:val="004C51FE"/>
    <w:rsid w:val="004C5B23"/>
    <w:rsid w:val="004C6290"/>
    <w:rsid w:val="004C66DE"/>
    <w:rsid w:val="004C68B7"/>
    <w:rsid w:val="004C6DC1"/>
    <w:rsid w:val="004C740F"/>
    <w:rsid w:val="004C754E"/>
    <w:rsid w:val="004C757C"/>
    <w:rsid w:val="004C768F"/>
    <w:rsid w:val="004C76AF"/>
    <w:rsid w:val="004C7848"/>
    <w:rsid w:val="004C7A86"/>
    <w:rsid w:val="004C7CEE"/>
    <w:rsid w:val="004C7F24"/>
    <w:rsid w:val="004D01E7"/>
    <w:rsid w:val="004D06E3"/>
    <w:rsid w:val="004D0709"/>
    <w:rsid w:val="004D0DD2"/>
    <w:rsid w:val="004D0EBF"/>
    <w:rsid w:val="004D0EEC"/>
    <w:rsid w:val="004D13A7"/>
    <w:rsid w:val="004D1770"/>
    <w:rsid w:val="004D17A9"/>
    <w:rsid w:val="004D1858"/>
    <w:rsid w:val="004D1B02"/>
    <w:rsid w:val="004D2397"/>
    <w:rsid w:val="004D2839"/>
    <w:rsid w:val="004D2CEB"/>
    <w:rsid w:val="004D317B"/>
    <w:rsid w:val="004D324A"/>
    <w:rsid w:val="004D32AE"/>
    <w:rsid w:val="004D34BD"/>
    <w:rsid w:val="004D3713"/>
    <w:rsid w:val="004D3721"/>
    <w:rsid w:val="004D3D60"/>
    <w:rsid w:val="004D44C4"/>
    <w:rsid w:val="004D4C7B"/>
    <w:rsid w:val="004D4EB4"/>
    <w:rsid w:val="004D4F40"/>
    <w:rsid w:val="004D5A1E"/>
    <w:rsid w:val="004D5BA6"/>
    <w:rsid w:val="004D5F71"/>
    <w:rsid w:val="004D5F8E"/>
    <w:rsid w:val="004D6016"/>
    <w:rsid w:val="004D6C67"/>
    <w:rsid w:val="004D6EDD"/>
    <w:rsid w:val="004D70B5"/>
    <w:rsid w:val="004D7219"/>
    <w:rsid w:val="004D74C9"/>
    <w:rsid w:val="004D74E2"/>
    <w:rsid w:val="004D7B1D"/>
    <w:rsid w:val="004D7B62"/>
    <w:rsid w:val="004E03C7"/>
    <w:rsid w:val="004E0414"/>
    <w:rsid w:val="004E05F9"/>
    <w:rsid w:val="004E0A12"/>
    <w:rsid w:val="004E0E18"/>
    <w:rsid w:val="004E0E7F"/>
    <w:rsid w:val="004E0F55"/>
    <w:rsid w:val="004E0FAC"/>
    <w:rsid w:val="004E119E"/>
    <w:rsid w:val="004E157E"/>
    <w:rsid w:val="004E1A35"/>
    <w:rsid w:val="004E1B8A"/>
    <w:rsid w:val="004E1B9F"/>
    <w:rsid w:val="004E1EC2"/>
    <w:rsid w:val="004E224C"/>
    <w:rsid w:val="004E227B"/>
    <w:rsid w:val="004E27A4"/>
    <w:rsid w:val="004E2848"/>
    <w:rsid w:val="004E29CE"/>
    <w:rsid w:val="004E3127"/>
    <w:rsid w:val="004E31E9"/>
    <w:rsid w:val="004E34C8"/>
    <w:rsid w:val="004E36A1"/>
    <w:rsid w:val="004E3793"/>
    <w:rsid w:val="004E37C4"/>
    <w:rsid w:val="004E3872"/>
    <w:rsid w:val="004E3E91"/>
    <w:rsid w:val="004E428D"/>
    <w:rsid w:val="004E443A"/>
    <w:rsid w:val="004E522E"/>
    <w:rsid w:val="004E531E"/>
    <w:rsid w:val="004E54F9"/>
    <w:rsid w:val="004E5D42"/>
    <w:rsid w:val="004E5E19"/>
    <w:rsid w:val="004E5F4C"/>
    <w:rsid w:val="004E6241"/>
    <w:rsid w:val="004E6277"/>
    <w:rsid w:val="004E6618"/>
    <w:rsid w:val="004E6867"/>
    <w:rsid w:val="004E694B"/>
    <w:rsid w:val="004E695A"/>
    <w:rsid w:val="004E6DEB"/>
    <w:rsid w:val="004E707C"/>
    <w:rsid w:val="004E7266"/>
    <w:rsid w:val="004E7585"/>
    <w:rsid w:val="004E764C"/>
    <w:rsid w:val="004E7EAF"/>
    <w:rsid w:val="004F0721"/>
    <w:rsid w:val="004F0A41"/>
    <w:rsid w:val="004F0CAD"/>
    <w:rsid w:val="004F137E"/>
    <w:rsid w:val="004F154D"/>
    <w:rsid w:val="004F1956"/>
    <w:rsid w:val="004F19F6"/>
    <w:rsid w:val="004F1ABD"/>
    <w:rsid w:val="004F1EF4"/>
    <w:rsid w:val="004F1F87"/>
    <w:rsid w:val="004F232B"/>
    <w:rsid w:val="004F2369"/>
    <w:rsid w:val="004F2444"/>
    <w:rsid w:val="004F24A9"/>
    <w:rsid w:val="004F24AE"/>
    <w:rsid w:val="004F2772"/>
    <w:rsid w:val="004F2909"/>
    <w:rsid w:val="004F2A4F"/>
    <w:rsid w:val="004F2C19"/>
    <w:rsid w:val="004F2F9D"/>
    <w:rsid w:val="004F339C"/>
    <w:rsid w:val="004F3587"/>
    <w:rsid w:val="004F3815"/>
    <w:rsid w:val="004F38C9"/>
    <w:rsid w:val="004F38EF"/>
    <w:rsid w:val="004F3CAD"/>
    <w:rsid w:val="004F4360"/>
    <w:rsid w:val="004F45A9"/>
    <w:rsid w:val="004F47BE"/>
    <w:rsid w:val="004F4CC1"/>
    <w:rsid w:val="004F4EAB"/>
    <w:rsid w:val="004F53D7"/>
    <w:rsid w:val="004F5680"/>
    <w:rsid w:val="004F57CF"/>
    <w:rsid w:val="004F5886"/>
    <w:rsid w:val="004F5E84"/>
    <w:rsid w:val="004F5FE7"/>
    <w:rsid w:val="004F6337"/>
    <w:rsid w:val="004F6568"/>
    <w:rsid w:val="004F658D"/>
    <w:rsid w:val="004F680C"/>
    <w:rsid w:val="004F6985"/>
    <w:rsid w:val="004F6B45"/>
    <w:rsid w:val="004F6E82"/>
    <w:rsid w:val="004F6FEF"/>
    <w:rsid w:val="004F719F"/>
    <w:rsid w:val="004F7234"/>
    <w:rsid w:val="004F724F"/>
    <w:rsid w:val="004F7366"/>
    <w:rsid w:val="004F782C"/>
    <w:rsid w:val="005005ED"/>
    <w:rsid w:val="00500E14"/>
    <w:rsid w:val="0050112D"/>
    <w:rsid w:val="005011C0"/>
    <w:rsid w:val="005012DD"/>
    <w:rsid w:val="00501379"/>
    <w:rsid w:val="005018DC"/>
    <w:rsid w:val="00501964"/>
    <w:rsid w:val="00501A84"/>
    <w:rsid w:val="00501BC3"/>
    <w:rsid w:val="00502188"/>
    <w:rsid w:val="005021DE"/>
    <w:rsid w:val="00502217"/>
    <w:rsid w:val="0050285F"/>
    <w:rsid w:val="00502B29"/>
    <w:rsid w:val="00502C04"/>
    <w:rsid w:val="00502C8D"/>
    <w:rsid w:val="005030B9"/>
    <w:rsid w:val="005030EA"/>
    <w:rsid w:val="00503269"/>
    <w:rsid w:val="00503429"/>
    <w:rsid w:val="00503473"/>
    <w:rsid w:val="00503927"/>
    <w:rsid w:val="00503971"/>
    <w:rsid w:val="00503B33"/>
    <w:rsid w:val="00503D24"/>
    <w:rsid w:val="00503F5B"/>
    <w:rsid w:val="005041E3"/>
    <w:rsid w:val="005046D1"/>
    <w:rsid w:val="00504733"/>
    <w:rsid w:val="005048F5"/>
    <w:rsid w:val="005049E3"/>
    <w:rsid w:val="00504A0E"/>
    <w:rsid w:val="00504D08"/>
    <w:rsid w:val="00504D54"/>
    <w:rsid w:val="0050529B"/>
    <w:rsid w:val="00505822"/>
    <w:rsid w:val="005060C5"/>
    <w:rsid w:val="00506230"/>
    <w:rsid w:val="00506532"/>
    <w:rsid w:val="0050663D"/>
    <w:rsid w:val="00506A48"/>
    <w:rsid w:val="00506A51"/>
    <w:rsid w:val="00506BCC"/>
    <w:rsid w:val="00506C6B"/>
    <w:rsid w:val="005076BC"/>
    <w:rsid w:val="005078DE"/>
    <w:rsid w:val="0051009E"/>
    <w:rsid w:val="00510137"/>
    <w:rsid w:val="005102F7"/>
    <w:rsid w:val="005103E8"/>
    <w:rsid w:val="00510566"/>
    <w:rsid w:val="005105E3"/>
    <w:rsid w:val="0051097D"/>
    <w:rsid w:val="00510D1A"/>
    <w:rsid w:val="005110E3"/>
    <w:rsid w:val="00511585"/>
    <w:rsid w:val="005119D0"/>
    <w:rsid w:val="00511C75"/>
    <w:rsid w:val="00511DE5"/>
    <w:rsid w:val="00512042"/>
    <w:rsid w:val="005124A2"/>
    <w:rsid w:val="005125AA"/>
    <w:rsid w:val="005125EA"/>
    <w:rsid w:val="00512698"/>
    <w:rsid w:val="0051291C"/>
    <w:rsid w:val="00512E9E"/>
    <w:rsid w:val="0051304A"/>
    <w:rsid w:val="00513247"/>
    <w:rsid w:val="005137C0"/>
    <w:rsid w:val="005138B4"/>
    <w:rsid w:val="00513C4C"/>
    <w:rsid w:val="005145CC"/>
    <w:rsid w:val="0051469C"/>
    <w:rsid w:val="005146D5"/>
    <w:rsid w:val="00514E49"/>
    <w:rsid w:val="00514E62"/>
    <w:rsid w:val="005153BF"/>
    <w:rsid w:val="005155BD"/>
    <w:rsid w:val="005164E6"/>
    <w:rsid w:val="00516558"/>
    <w:rsid w:val="0051698D"/>
    <w:rsid w:val="00516AFA"/>
    <w:rsid w:val="005172A7"/>
    <w:rsid w:val="0051750A"/>
    <w:rsid w:val="00517CA6"/>
    <w:rsid w:val="00517F21"/>
    <w:rsid w:val="00520099"/>
    <w:rsid w:val="00520342"/>
    <w:rsid w:val="00520382"/>
    <w:rsid w:val="00520442"/>
    <w:rsid w:val="005209CA"/>
    <w:rsid w:val="005209F6"/>
    <w:rsid w:val="00520A60"/>
    <w:rsid w:val="0052116F"/>
    <w:rsid w:val="00521395"/>
    <w:rsid w:val="005216F6"/>
    <w:rsid w:val="00521A5B"/>
    <w:rsid w:val="00521CC6"/>
    <w:rsid w:val="0052242D"/>
    <w:rsid w:val="005225E8"/>
    <w:rsid w:val="00522629"/>
    <w:rsid w:val="00522665"/>
    <w:rsid w:val="005227B9"/>
    <w:rsid w:val="00522D0F"/>
    <w:rsid w:val="00522F10"/>
    <w:rsid w:val="00523509"/>
    <w:rsid w:val="005235ED"/>
    <w:rsid w:val="00523630"/>
    <w:rsid w:val="005237C2"/>
    <w:rsid w:val="005237EA"/>
    <w:rsid w:val="00523957"/>
    <w:rsid w:val="0052395D"/>
    <w:rsid w:val="00523DCE"/>
    <w:rsid w:val="00523E10"/>
    <w:rsid w:val="00523FBC"/>
    <w:rsid w:val="00524347"/>
    <w:rsid w:val="0052449E"/>
    <w:rsid w:val="0052450F"/>
    <w:rsid w:val="00525357"/>
    <w:rsid w:val="00525622"/>
    <w:rsid w:val="0052565A"/>
    <w:rsid w:val="00525757"/>
    <w:rsid w:val="005257DD"/>
    <w:rsid w:val="005260AC"/>
    <w:rsid w:val="0052635E"/>
    <w:rsid w:val="00526A24"/>
    <w:rsid w:val="00526CEB"/>
    <w:rsid w:val="00527169"/>
    <w:rsid w:val="00527193"/>
    <w:rsid w:val="005274E0"/>
    <w:rsid w:val="0052773A"/>
    <w:rsid w:val="0052776D"/>
    <w:rsid w:val="00527F4C"/>
    <w:rsid w:val="00530107"/>
    <w:rsid w:val="0053010A"/>
    <w:rsid w:val="0053015E"/>
    <w:rsid w:val="00530607"/>
    <w:rsid w:val="0053077D"/>
    <w:rsid w:val="005308B1"/>
    <w:rsid w:val="00530B7D"/>
    <w:rsid w:val="0053121C"/>
    <w:rsid w:val="005312EC"/>
    <w:rsid w:val="00531881"/>
    <w:rsid w:val="0053193F"/>
    <w:rsid w:val="00531AD3"/>
    <w:rsid w:val="005321B1"/>
    <w:rsid w:val="00532287"/>
    <w:rsid w:val="0053259E"/>
    <w:rsid w:val="005325E6"/>
    <w:rsid w:val="00532698"/>
    <w:rsid w:val="005326FB"/>
    <w:rsid w:val="005329B4"/>
    <w:rsid w:val="0053357C"/>
    <w:rsid w:val="005338EA"/>
    <w:rsid w:val="005339C7"/>
    <w:rsid w:val="00533A48"/>
    <w:rsid w:val="00533AD3"/>
    <w:rsid w:val="00533ADC"/>
    <w:rsid w:val="00533BC8"/>
    <w:rsid w:val="005341CD"/>
    <w:rsid w:val="00534436"/>
    <w:rsid w:val="00534889"/>
    <w:rsid w:val="005348B2"/>
    <w:rsid w:val="0053496B"/>
    <w:rsid w:val="00534DC7"/>
    <w:rsid w:val="00534E3B"/>
    <w:rsid w:val="00534E46"/>
    <w:rsid w:val="00534F6A"/>
    <w:rsid w:val="00535151"/>
    <w:rsid w:val="00535553"/>
    <w:rsid w:val="0053598A"/>
    <w:rsid w:val="00535B3C"/>
    <w:rsid w:val="00535C06"/>
    <w:rsid w:val="00535CA2"/>
    <w:rsid w:val="00535D3E"/>
    <w:rsid w:val="00535F65"/>
    <w:rsid w:val="0053612F"/>
    <w:rsid w:val="00536449"/>
    <w:rsid w:val="005365D2"/>
    <w:rsid w:val="00536D2F"/>
    <w:rsid w:val="00536F53"/>
    <w:rsid w:val="0053704C"/>
    <w:rsid w:val="005370AE"/>
    <w:rsid w:val="00537720"/>
    <w:rsid w:val="00537A4F"/>
    <w:rsid w:val="00537BF4"/>
    <w:rsid w:val="00537C0A"/>
    <w:rsid w:val="00540146"/>
    <w:rsid w:val="0054098C"/>
    <w:rsid w:val="005409E7"/>
    <w:rsid w:val="00540CEE"/>
    <w:rsid w:val="00540F48"/>
    <w:rsid w:val="0054124D"/>
    <w:rsid w:val="00541292"/>
    <w:rsid w:val="00541482"/>
    <w:rsid w:val="005416A5"/>
    <w:rsid w:val="005416BD"/>
    <w:rsid w:val="005419F0"/>
    <w:rsid w:val="00541FEA"/>
    <w:rsid w:val="005420E6"/>
    <w:rsid w:val="00542129"/>
    <w:rsid w:val="00542AA9"/>
    <w:rsid w:val="00542AEC"/>
    <w:rsid w:val="00542DF9"/>
    <w:rsid w:val="0054313A"/>
    <w:rsid w:val="00543620"/>
    <w:rsid w:val="00543628"/>
    <w:rsid w:val="00543945"/>
    <w:rsid w:val="00543C27"/>
    <w:rsid w:val="0054432C"/>
    <w:rsid w:val="0054441B"/>
    <w:rsid w:val="00544954"/>
    <w:rsid w:val="0054497A"/>
    <w:rsid w:val="00544DA0"/>
    <w:rsid w:val="005451B9"/>
    <w:rsid w:val="0054531C"/>
    <w:rsid w:val="0054531E"/>
    <w:rsid w:val="005459B6"/>
    <w:rsid w:val="00545BE6"/>
    <w:rsid w:val="00545C5C"/>
    <w:rsid w:val="00545EFF"/>
    <w:rsid w:val="0054628D"/>
    <w:rsid w:val="005462BB"/>
    <w:rsid w:val="00546716"/>
    <w:rsid w:val="00546C8A"/>
    <w:rsid w:val="00546CBC"/>
    <w:rsid w:val="00546E1E"/>
    <w:rsid w:val="00546EAD"/>
    <w:rsid w:val="00546EB7"/>
    <w:rsid w:val="0054722E"/>
    <w:rsid w:val="005472A9"/>
    <w:rsid w:val="005474FD"/>
    <w:rsid w:val="0054750D"/>
    <w:rsid w:val="005475A2"/>
    <w:rsid w:val="00547702"/>
    <w:rsid w:val="00547C03"/>
    <w:rsid w:val="00547EF3"/>
    <w:rsid w:val="00547F59"/>
    <w:rsid w:val="005505A4"/>
    <w:rsid w:val="00550CAA"/>
    <w:rsid w:val="00550EEA"/>
    <w:rsid w:val="00550F3B"/>
    <w:rsid w:val="00550F81"/>
    <w:rsid w:val="005514CA"/>
    <w:rsid w:val="00551B29"/>
    <w:rsid w:val="005520F5"/>
    <w:rsid w:val="00552A8D"/>
    <w:rsid w:val="005534D1"/>
    <w:rsid w:val="005535D1"/>
    <w:rsid w:val="005537E2"/>
    <w:rsid w:val="00553839"/>
    <w:rsid w:val="00553B18"/>
    <w:rsid w:val="00553B2A"/>
    <w:rsid w:val="00554248"/>
    <w:rsid w:val="00554A3C"/>
    <w:rsid w:val="00554BA3"/>
    <w:rsid w:val="00554CA9"/>
    <w:rsid w:val="00554D2F"/>
    <w:rsid w:val="00554D54"/>
    <w:rsid w:val="00554FAE"/>
    <w:rsid w:val="00555235"/>
    <w:rsid w:val="00555863"/>
    <w:rsid w:val="005559EA"/>
    <w:rsid w:val="00555B61"/>
    <w:rsid w:val="00556790"/>
    <w:rsid w:val="00556877"/>
    <w:rsid w:val="00556A46"/>
    <w:rsid w:val="00556C4F"/>
    <w:rsid w:val="00557032"/>
    <w:rsid w:val="0055729E"/>
    <w:rsid w:val="00557D86"/>
    <w:rsid w:val="00557EAE"/>
    <w:rsid w:val="00560023"/>
    <w:rsid w:val="0056045B"/>
    <w:rsid w:val="0056047F"/>
    <w:rsid w:val="00560921"/>
    <w:rsid w:val="00560E67"/>
    <w:rsid w:val="00561FCE"/>
    <w:rsid w:val="00562AB5"/>
    <w:rsid w:val="00562BD9"/>
    <w:rsid w:val="00562EC8"/>
    <w:rsid w:val="00562FC4"/>
    <w:rsid w:val="00563174"/>
    <w:rsid w:val="00563206"/>
    <w:rsid w:val="00563427"/>
    <w:rsid w:val="00563482"/>
    <w:rsid w:val="0056348F"/>
    <w:rsid w:val="005636FF"/>
    <w:rsid w:val="00563709"/>
    <w:rsid w:val="0056370D"/>
    <w:rsid w:val="0056396F"/>
    <w:rsid w:val="00563E28"/>
    <w:rsid w:val="00563E55"/>
    <w:rsid w:val="00563E63"/>
    <w:rsid w:val="0056424B"/>
    <w:rsid w:val="005648DC"/>
    <w:rsid w:val="00564A6D"/>
    <w:rsid w:val="005650BB"/>
    <w:rsid w:val="005650CB"/>
    <w:rsid w:val="00565136"/>
    <w:rsid w:val="005651C0"/>
    <w:rsid w:val="00565A40"/>
    <w:rsid w:val="005661B8"/>
    <w:rsid w:val="005662C6"/>
    <w:rsid w:val="00566503"/>
    <w:rsid w:val="00566949"/>
    <w:rsid w:val="00566A84"/>
    <w:rsid w:val="00566B08"/>
    <w:rsid w:val="00566E71"/>
    <w:rsid w:val="00566F57"/>
    <w:rsid w:val="005674B7"/>
    <w:rsid w:val="0056774F"/>
    <w:rsid w:val="00567B4E"/>
    <w:rsid w:val="00567C97"/>
    <w:rsid w:val="005701B2"/>
    <w:rsid w:val="00571241"/>
    <w:rsid w:val="0057126A"/>
    <w:rsid w:val="00571321"/>
    <w:rsid w:val="0057167A"/>
    <w:rsid w:val="005720EB"/>
    <w:rsid w:val="0057212D"/>
    <w:rsid w:val="0057242A"/>
    <w:rsid w:val="005724F1"/>
    <w:rsid w:val="0057266E"/>
    <w:rsid w:val="00572698"/>
    <w:rsid w:val="00572793"/>
    <w:rsid w:val="0057299B"/>
    <w:rsid w:val="00572FBD"/>
    <w:rsid w:val="00573A75"/>
    <w:rsid w:val="00573E3A"/>
    <w:rsid w:val="00574275"/>
    <w:rsid w:val="005746D4"/>
    <w:rsid w:val="00574877"/>
    <w:rsid w:val="00574A01"/>
    <w:rsid w:val="00574F28"/>
    <w:rsid w:val="005750C5"/>
    <w:rsid w:val="00575245"/>
    <w:rsid w:val="00575355"/>
    <w:rsid w:val="005756AF"/>
    <w:rsid w:val="00575802"/>
    <w:rsid w:val="0057682B"/>
    <w:rsid w:val="00576A14"/>
    <w:rsid w:val="00576BC0"/>
    <w:rsid w:val="00576EC0"/>
    <w:rsid w:val="0057705F"/>
    <w:rsid w:val="0057712E"/>
    <w:rsid w:val="005773A9"/>
    <w:rsid w:val="00577797"/>
    <w:rsid w:val="005801CF"/>
    <w:rsid w:val="005802A6"/>
    <w:rsid w:val="00580321"/>
    <w:rsid w:val="00580378"/>
    <w:rsid w:val="0058051B"/>
    <w:rsid w:val="00580925"/>
    <w:rsid w:val="00580968"/>
    <w:rsid w:val="00580B7F"/>
    <w:rsid w:val="00580D08"/>
    <w:rsid w:val="00580F30"/>
    <w:rsid w:val="00581669"/>
    <w:rsid w:val="00581A1E"/>
    <w:rsid w:val="00581A6E"/>
    <w:rsid w:val="00581C1A"/>
    <w:rsid w:val="00581D26"/>
    <w:rsid w:val="00581DE1"/>
    <w:rsid w:val="0058212D"/>
    <w:rsid w:val="00582698"/>
    <w:rsid w:val="00582E3E"/>
    <w:rsid w:val="00582F31"/>
    <w:rsid w:val="00582F3A"/>
    <w:rsid w:val="0058318D"/>
    <w:rsid w:val="0058341A"/>
    <w:rsid w:val="0058352E"/>
    <w:rsid w:val="00583736"/>
    <w:rsid w:val="0058388D"/>
    <w:rsid w:val="00583AB0"/>
    <w:rsid w:val="00583B62"/>
    <w:rsid w:val="00584238"/>
    <w:rsid w:val="005843BA"/>
    <w:rsid w:val="00584558"/>
    <w:rsid w:val="0058458B"/>
    <w:rsid w:val="00584618"/>
    <w:rsid w:val="00584647"/>
    <w:rsid w:val="0058488F"/>
    <w:rsid w:val="00584A4C"/>
    <w:rsid w:val="00584B0C"/>
    <w:rsid w:val="005851F9"/>
    <w:rsid w:val="005855F2"/>
    <w:rsid w:val="00585C38"/>
    <w:rsid w:val="00585D30"/>
    <w:rsid w:val="0058612D"/>
    <w:rsid w:val="00586956"/>
    <w:rsid w:val="00586C12"/>
    <w:rsid w:val="00587033"/>
    <w:rsid w:val="00587547"/>
    <w:rsid w:val="005875F8"/>
    <w:rsid w:val="0058769F"/>
    <w:rsid w:val="00587723"/>
    <w:rsid w:val="00587952"/>
    <w:rsid w:val="00587C1E"/>
    <w:rsid w:val="00587C21"/>
    <w:rsid w:val="00587C7E"/>
    <w:rsid w:val="00587C7F"/>
    <w:rsid w:val="00587F45"/>
    <w:rsid w:val="00590404"/>
    <w:rsid w:val="00590DB2"/>
    <w:rsid w:val="00590E87"/>
    <w:rsid w:val="00591028"/>
    <w:rsid w:val="005910CF"/>
    <w:rsid w:val="005910F9"/>
    <w:rsid w:val="00591276"/>
    <w:rsid w:val="005919A8"/>
    <w:rsid w:val="00591B2E"/>
    <w:rsid w:val="00591C1F"/>
    <w:rsid w:val="00591C98"/>
    <w:rsid w:val="00591D9B"/>
    <w:rsid w:val="00591E5F"/>
    <w:rsid w:val="00591E94"/>
    <w:rsid w:val="00591EDA"/>
    <w:rsid w:val="00592529"/>
    <w:rsid w:val="00592559"/>
    <w:rsid w:val="00592B0B"/>
    <w:rsid w:val="00592C7A"/>
    <w:rsid w:val="00592DCE"/>
    <w:rsid w:val="0059306F"/>
    <w:rsid w:val="00593081"/>
    <w:rsid w:val="00593450"/>
    <w:rsid w:val="005934C0"/>
    <w:rsid w:val="00593A67"/>
    <w:rsid w:val="00593AE9"/>
    <w:rsid w:val="00593CDA"/>
    <w:rsid w:val="00594667"/>
    <w:rsid w:val="005946AD"/>
    <w:rsid w:val="00594B89"/>
    <w:rsid w:val="00594C2F"/>
    <w:rsid w:val="00594DC5"/>
    <w:rsid w:val="005952CA"/>
    <w:rsid w:val="005956B6"/>
    <w:rsid w:val="00595AF9"/>
    <w:rsid w:val="00595C12"/>
    <w:rsid w:val="00595D90"/>
    <w:rsid w:val="00595DFA"/>
    <w:rsid w:val="005960B4"/>
    <w:rsid w:val="0059611C"/>
    <w:rsid w:val="0059637E"/>
    <w:rsid w:val="005963A2"/>
    <w:rsid w:val="005963EC"/>
    <w:rsid w:val="005964DB"/>
    <w:rsid w:val="00596548"/>
    <w:rsid w:val="005966F5"/>
    <w:rsid w:val="0059683E"/>
    <w:rsid w:val="005969FD"/>
    <w:rsid w:val="00596B7B"/>
    <w:rsid w:val="00596FA4"/>
    <w:rsid w:val="005970B2"/>
    <w:rsid w:val="005972A1"/>
    <w:rsid w:val="0059768B"/>
    <w:rsid w:val="00597BDA"/>
    <w:rsid w:val="005A0267"/>
    <w:rsid w:val="005A064E"/>
    <w:rsid w:val="005A0924"/>
    <w:rsid w:val="005A09FB"/>
    <w:rsid w:val="005A0BD7"/>
    <w:rsid w:val="005A0CD4"/>
    <w:rsid w:val="005A0D86"/>
    <w:rsid w:val="005A0E77"/>
    <w:rsid w:val="005A1A7A"/>
    <w:rsid w:val="005A1F02"/>
    <w:rsid w:val="005A216E"/>
    <w:rsid w:val="005A219C"/>
    <w:rsid w:val="005A263A"/>
    <w:rsid w:val="005A26F1"/>
    <w:rsid w:val="005A2B38"/>
    <w:rsid w:val="005A2E93"/>
    <w:rsid w:val="005A38A3"/>
    <w:rsid w:val="005A3BD2"/>
    <w:rsid w:val="005A3E12"/>
    <w:rsid w:val="005A40AC"/>
    <w:rsid w:val="005A40F5"/>
    <w:rsid w:val="005A41BB"/>
    <w:rsid w:val="005A4449"/>
    <w:rsid w:val="005A46BD"/>
    <w:rsid w:val="005A4881"/>
    <w:rsid w:val="005A4B66"/>
    <w:rsid w:val="005A4BA3"/>
    <w:rsid w:val="005A5103"/>
    <w:rsid w:val="005A570F"/>
    <w:rsid w:val="005A6080"/>
    <w:rsid w:val="005A60BD"/>
    <w:rsid w:val="005A614D"/>
    <w:rsid w:val="005A6183"/>
    <w:rsid w:val="005A61B2"/>
    <w:rsid w:val="005A69AB"/>
    <w:rsid w:val="005A6A90"/>
    <w:rsid w:val="005A6B59"/>
    <w:rsid w:val="005A6D14"/>
    <w:rsid w:val="005A6E72"/>
    <w:rsid w:val="005A716D"/>
    <w:rsid w:val="005A727F"/>
    <w:rsid w:val="005A7D1C"/>
    <w:rsid w:val="005B0048"/>
    <w:rsid w:val="005B0635"/>
    <w:rsid w:val="005B0780"/>
    <w:rsid w:val="005B1124"/>
    <w:rsid w:val="005B1151"/>
    <w:rsid w:val="005B17F0"/>
    <w:rsid w:val="005B1964"/>
    <w:rsid w:val="005B1978"/>
    <w:rsid w:val="005B19B1"/>
    <w:rsid w:val="005B1CAC"/>
    <w:rsid w:val="005B1F23"/>
    <w:rsid w:val="005B21BF"/>
    <w:rsid w:val="005B2456"/>
    <w:rsid w:val="005B2F8A"/>
    <w:rsid w:val="005B30BB"/>
    <w:rsid w:val="005B30D3"/>
    <w:rsid w:val="005B329F"/>
    <w:rsid w:val="005B32FF"/>
    <w:rsid w:val="005B3818"/>
    <w:rsid w:val="005B3B5A"/>
    <w:rsid w:val="005B40B9"/>
    <w:rsid w:val="005B4125"/>
    <w:rsid w:val="005B4194"/>
    <w:rsid w:val="005B44E8"/>
    <w:rsid w:val="005B456C"/>
    <w:rsid w:val="005B485B"/>
    <w:rsid w:val="005B4E1E"/>
    <w:rsid w:val="005B561A"/>
    <w:rsid w:val="005B56F2"/>
    <w:rsid w:val="005B5A12"/>
    <w:rsid w:val="005B5B6D"/>
    <w:rsid w:val="005B60C8"/>
    <w:rsid w:val="005B652C"/>
    <w:rsid w:val="005B667E"/>
    <w:rsid w:val="005B674E"/>
    <w:rsid w:val="005B69FA"/>
    <w:rsid w:val="005B7527"/>
    <w:rsid w:val="005B7823"/>
    <w:rsid w:val="005B7B6D"/>
    <w:rsid w:val="005B7CB6"/>
    <w:rsid w:val="005C0325"/>
    <w:rsid w:val="005C13A9"/>
    <w:rsid w:val="005C153E"/>
    <w:rsid w:val="005C1761"/>
    <w:rsid w:val="005C1B1F"/>
    <w:rsid w:val="005C1CB4"/>
    <w:rsid w:val="005C27A8"/>
    <w:rsid w:val="005C2A8C"/>
    <w:rsid w:val="005C3CD6"/>
    <w:rsid w:val="005C44DB"/>
    <w:rsid w:val="005C456B"/>
    <w:rsid w:val="005C4A84"/>
    <w:rsid w:val="005C4CA9"/>
    <w:rsid w:val="005C4DCD"/>
    <w:rsid w:val="005C522E"/>
    <w:rsid w:val="005C5536"/>
    <w:rsid w:val="005C59FE"/>
    <w:rsid w:val="005C5D8D"/>
    <w:rsid w:val="005C5EE4"/>
    <w:rsid w:val="005C688C"/>
    <w:rsid w:val="005C6ECC"/>
    <w:rsid w:val="005C6F5B"/>
    <w:rsid w:val="005C73CD"/>
    <w:rsid w:val="005C7513"/>
    <w:rsid w:val="005C7D07"/>
    <w:rsid w:val="005C7E0D"/>
    <w:rsid w:val="005C7FD8"/>
    <w:rsid w:val="005D007A"/>
    <w:rsid w:val="005D076D"/>
    <w:rsid w:val="005D0777"/>
    <w:rsid w:val="005D0836"/>
    <w:rsid w:val="005D0921"/>
    <w:rsid w:val="005D0CA8"/>
    <w:rsid w:val="005D0D57"/>
    <w:rsid w:val="005D0E8D"/>
    <w:rsid w:val="005D10CC"/>
    <w:rsid w:val="005D1107"/>
    <w:rsid w:val="005D1264"/>
    <w:rsid w:val="005D16C1"/>
    <w:rsid w:val="005D16E4"/>
    <w:rsid w:val="005D1B0A"/>
    <w:rsid w:val="005D226D"/>
    <w:rsid w:val="005D25A9"/>
    <w:rsid w:val="005D25E9"/>
    <w:rsid w:val="005D2634"/>
    <w:rsid w:val="005D2973"/>
    <w:rsid w:val="005D2C58"/>
    <w:rsid w:val="005D2E25"/>
    <w:rsid w:val="005D3438"/>
    <w:rsid w:val="005D3799"/>
    <w:rsid w:val="005D3EEA"/>
    <w:rsid w:val="005D4560"/>
    <w:rsid w:val="005D4633"/>
    <w:rsid w:val="005D4A44"/>
    <w:rsid w:val="005D4DB1"/>
    <w:rsid w:val="005D4E81"/>
    <w:rsid w:val="005D4F0C"/>
    <w:rsid w:val="005D5225"/>
    <w:rsid w:val="005D56E4"/>
    <w:rsid w:val="005D57A7"/>
    <w:rsid w:val="005D5BF6"/>
    <w:rsid w:val="005D5F1B"/>
    <w:rsid w:val="005D5F8B"/>
    <w:rsid w:val="005D62A0"/>
    <w:rsid w:val="005D6373"/>
    <w:rsid w:val="005D67C3"/>
    <w:rsid w:val="005D6CBA"/>
    <w:rsid w:val="005D6D3A"/>
    <w:rsid w:val="005D6FAB"/>
    <w:rsid w:val="005D7307"/>
    <w:rsid w:val="005D7A13"/>
    <w:rsid w:val="005D7CDC"/>
    <w:rsid w:val="005D7F7C"/>
    <w:rsid w:val="005E0758"/>
    <w:rsid w:val="005E0CCC"/>
    <w:rsid w:val="005E0ECF"/>
    <w:rsid w:val="005E190B"/>
    <w:rsid w:val="005E2803"/>
    <w:rsid w:val="005E2A15"/>
    <w:rsid w:val="005E2B30"/>
    <w:rsid w:val="005E2DC6"/>
    <w:rsid w:val="005E2F99"/>
    <w:rsid w:val="005E33EF"/>
    <w:rsid w:val="005E3994"/>
    <w:rsid w:val="005E3D42"/>
    <w:rsid w:val="005E3EFA"/>
    <w:rsid w:val="005E3FF7"/>
    <w:rsid w:val="005E4389"/>
    <w:rsid w:val="005E449D"/>
    <w:rsid w:val="005E4ED8"/>
    <w:rsid w:val="005E5334"/>
    <w:rsid w:val="005E5471"/>
    <w:rsid w:val="005E57FE"/>
    <w:rsid w:val="005E5B9D"/>
    <w:rsid w:val="005E5EF8"/>
    <w:rsid w:val="005E5F5C"/>
    <w:rsid w:val="005E6105"/>
    <w:rsid w:val="005E6136"/>
    <w:rsid w:val="005E6253"/>
    <w:rsid w:val="005E6320"/>
    <w:rsid w:val="005E65D2"/>
    <w:rsid w:val="005E6646"/>
    <w:rsid w:val="005E6ACF"/>
    <w:rsid w:val="005E72A0"/>
    <w:rsid w:val="005E742D"/>
    <w:rsid w:val="005E7B61"/>
    <w:rsid w:val="005F001B"/>
    <w:rsid w:val="005F003C"/>
    <w:rsid w:val="005F01B8"/>
    <w:rsid w:val="005F0747"/>
    <w:rsid w:val="005F0860"/>
    <w:rsid w:val="005F088D"/>
    <w:rsid w:val="005F0B69"/>
    <w:rsid w:val="005F0EE1"/>
    <w:rsid w:val="005F1903"/>
    <w:rsid w:val="005F1A53"/>
    <w:rsid w:val="005F1B86"/>
    <w:rsid w:val="005F1B95"/>
    <w:rsid w:val="005F1BF5"/>
    <w:rsid w:val="005F1F75"/>
    <w:rsid w:val="005F2279"/>
    <w:rsid w:val="005F22ED"/>
    <w:rsid w:val="005F24BB"/>
    <w:rsid w:val="005F292E"/>
    <w:rsid w:val="005F295C"/>
    <w:rsid w:val="005F2C53"/>
    <w:rsid w:val="005F2E9B"/>
    <w:rsid w:val="005F31C8"/>
    <w:rsid w:val="005F3C3F"/>
    <w:rsid w:val="005F3D19"/>
    <w:rsid w:val="005F4310"/>
    <w:rsid w:val="005F442D"/>
    <w:rsid w:val="005F471B"/>
    <w:rsid w:val="005F475F"/>
    <w:rsid w:val="005F4B0B"/>
    <w:rsid w:val="005F4B75"/>
    <w:rsid w:val="005F4BE9"/>
    <w:rsid w:val="005F4E5A"/>
    <w:rsid w:val="005F4F4E"/>
    <w:rsid w:val="005F5013"/>
    <w:rsid w:val="005F51C7"/>
    <w:rsid w:val="005F5846"/>
    <w:rsid w:val="005F5D80"/>
    <w:rsid w:val="005F5DCD"/>
    <w:rsid w:val="005F5E6D"/>
    <w:rsid w:val="005F6151"/>
    <w:rsid w:val="005F66B2"/>
    <w:rsid w:val="005F6955"/>
    <w:rsid w:val="005F6E5C"/>
    <w:rsid w:val="005F7136"/>
    <w:rsid w:val="005F72BD"/>
    <w:rsid w:val="005F72D2"/>
    <w:rsid w:val="005F7549"/>
    <w:rsid w:val="005F76D9"/>
    <w:rsid w:val="005F7793"/>
    <w:rsid w:val="005F793C"/>
    <w:rsid w:val="005F7AA2"/>
    <w:rsid w:val="005F7E06"/>
    <w:rsid w:val="00600016"/>
    <w:rsid w:val="006000AC"/>
    <w:rsid w:val="006001A6"/>
    <w:rsid w:val="006002A6"/>
    <w:rsid w:val="00600307"/>
    <w:rsid w:val="006003AA"/>
    <w:rsid w:val="00600472"/>
    <w:rsid w:val="0060053B"/>
    <w:rsid w:val="006007D8"/>
    <w:rsid w:val="0060082B"/>
    <w:rsid w:val="00600853"/>
    <w:rsid w:val="00600E32"/>
    <w:rsid w:val="00601421"/>
    <w:rsid w:val="00601446"/>
    <w:rsid w:val="00601A97"/>
    <w:rsid w:val="00601B89"/>
    <w:rsid w:val="00601DA7"/>
    <w:rsid w:val="00602552"/>
    <w:rsid w:val="00602807"/>
    <w:rsid w:val="006028FB"/>
    <w:rsid w:val="00602C0E"/>
    <w:rsid w:val="00602C68"/>
    <w:rsid w:val="00602DBB"/>
    <w:rsid w:val="006031F1"/>
    <w:rsid w:val="00603402"/>
    <w:rsid w:val="0060392B"/>
    <w:rsid w:val="00603A4A"/>
    <w:rsid w:val="00603AC3"/>
    <w:rsid w:val="0060425C"/>
    <w:rsid w:val="00604729"/>
    <w:rsid w:val="006048D6"/>
    <w:rsid w:val="006056B8"/>
    <w:rsid w:val="00605787"/>
    <w:rsid w:val="00605CE9"/>
    <w:rsid w:val="0060647E"/>
    <w:rsid w:val="006065F7"/>
    <w:rsid w:val="00606893"/>
    <w:rsid w:val="006068FC"/>
    <w:rsid w:val="00606B07"/>
    <w:rsid w:val="00606D98"/>
    <w:rsid w:val="00606E81"/>
    <w:rsid w:val="00606F66"/>
    <w:rsid w:val="00607253"/>
    <w:rsid w:val="006075D9"/>
    <w:rsid w:val="006077CF"/>
    <w:rsid w:val="0060780D"/>
    <w:rsid w:val="00607993"/>
    <w:rsid w:val="006079D1"/>
    <w:rsid w:val="00607D20"/>
    <w:rsid w:val="006100DE"/>
    <w:rsid w:val="006102BD"/>
    <w:rsid w:val="00610467"/>
    <w:rsid w:val="006105A0"/>
    <w:rsid w:val="006109C5"/>
    <w:rsid w:val="006109C6"/>
    <w:rsid w:val="00610B97"/>
    <w:rsid w:val="00610B9E"/>
    <w:rsid w:val="00610DDC"/>
    <w:rsid w:val="00610EC5"/>
    <w:rsid w:val="00610F55"/>
    <w:rsid w:val="006111AF"/>
    <w:rsid w:val="006123A5"/>
    <w:rsid w:val="006125E7"/>
    <w:rsid w:val="00612B60"/>
    <w:rsid w:val="00612C72"/>
    <w:rsid w:val="00612E12"/>
    <w:rsid w:val="006131BB"/>
    <w:rsid w:val="0061393E"/>
    <w:rsid w:val="00613E88"/>
    <w:rsid w:val="00613EE5"/>
    <w:rsid w:val="00613F8A"/>
    <w:rsid w:val="0061412B"/>
    <w:rsid w:val="00614179"/>
    <w:rsid w:val="0061430E"/>
    <w:rsid w:val="00614315"/>
    <w:rsid w:val="00614456"/>
    <w:rsid w:val="006146FA"/>
    <w:rsid w:val="00614B27"/>
    <w:rsid w:val="0061503E"/>
    <w:rsid w:val="00615110"/>
    <w:rsid w:val="0061514D"/>
    <w:rsid w:val="0061514F"/>
    <w:rsid w:val="00615195"/>
    <w:rsid w:val="006151AA"/>
    <w:rsid w:val="006152D9"/>
    <w:rsid w:val="00615354"/>
    <w:rsid w:val="006153D9"/>
    <w:rsid w:val="00615633"/>
    <w:rsid w:val="00615988"/>
    <w:rsid w:val="006159FF"/>
    <w:rsid w:val="00615AF4"/>
    <w:rsid w:val="00616065"/>
    <w:rsid w:val="006163C3"/>
    <w:rsid w:val="00616413"/>
    <w:rsid w:val="00616A7F"/>
    <w:rsid w:val="00616B7F"/>
    <w:rsid w:val="00616F30"/>
    <w:rsid w:val="006172DC"/>
    <w:rsid w:val="00617542"/>
    <w:rsid w:val="00617964"/>
    <w:rsid w:val="00617D73"/>
    <w:rsid w:val="00617F5D"/>
    <w:rsid w:val="00620173"/>
    <w:rsid w:val="00620311"/>
    <w:rsid w:val="006206DB"/>
    <w:rsid w:val="00620A11"/>
    <w:rsid w:val="00620A3D"/>
    <w:rsid w:val="006214D1"/>
    <w:rsid w:val="00621566"/>
    <w:rsid w:val="006218B0"/>
    <w:rsid w:val="00621D3E"/>
    <w:rsid w:val="00621E4C"/>
    <w:rsid w:val="00622191"/>
    <w:rsid w:val="00622680"/>
    <w:rsid w:val="006227BA"/>
    <w:rsid w:val="006227FA"/>
    <w:rsid w:val="00622F7D"/>
    <w:rsid w:val="00623443"/>
    <w:rsid w:val="00623478"/>
    <w:rsid w:val="0062348E"/>
    <w:rsid w:val="00623641"/>
    <w:rsid w:val="00623A2E"/>
    <w:rsid w:val="00623A69"/>
    <w:rsid w:val="00623DEA"/>
    <w:rsid w:val="00623ED0"/>
    <w:rsid w:val="006241EF"/>
    <w:rsid w:val="00624398"/>
    <w:rsid w:val="0062448A"/>
    <w:rsid w:val="006244AE"/>
    <w:rsid w:val="0062459C"/>
    <w:rsid w:val="00624CB6"/>
    <w:rsid w:val="00624DE8"/>
    <w:rsid w:val="00624EC5"/>
    <w:rsid w:val="0062563B"/>
    <w:rsid w:val="00625964"/>
    <w:rsid w:val="006261DD"/>
    <w:rsid w:val="00626315"/>
    <w:rsid w:val="0062638F"/>
    <w:rsid w:val="00626536"/>
    <w:rsid w:val="0062684F"/>
    <w:rsid w:val="006268C0"/>
    <w:rsid w:val="00626A16"/>
    <w:rsid w:val="00626A9F"/>
    <w:rsid w:val="00627417"/>
    <w:rsid w:val="006276B5"/>
    <w:rsid w:val="006277FB"/>
    <w:rsid w:val="0062796D"/>
    <w:rsid w:val="00627AF8"/>
    <w:rsid w:val="00627CDB"/>
    <w:rsid w:val="00627E26"/>
    <w:rsid w:val="00630454"/>
    <w:rsid w:val="0063059E"/>
    <w:rsid w:val="00630E50"/>
    <w:rsid w:val="00630FDF"/>
    <w:rsid w:val="006319E7"/>
    <w:rsid w:val="00631BA8"/>
    <w:rsid w:val="00631CEA"/>
    <w:rsid w:val="00631D8B"/>
    <w:rsid w:val="00631DD7"/>
    <w:rsid w:val="006321D9"/>
    <w:rsid w:val="006322E1"/>
    <w:rsid w:val="00632987"/>
    <w:rsid w:val="00632EF0"/>
    <w:rsid w:val="00633023"/>
    <w:rsid w:val="0063312E"/>
    <w:rsid w:val="00633323"/>
    <w:rsid w:val="00633A48"/>
    <w:rsid w:val="00633B44"/>
    <w:rsid w:val="0063415C"/>
    <w:rsid w:val="00634188"/>
    <w:rsid w:val="0063429F"/>
    <w:rsid w:val="006342DA"/>
    <w:rsid w:val="00634A73"/>
    <w:rsid w:val="00634E3D"/>
    <w:rsid w:val="00635273"/>
    <w:rsid w:val="0063553F"/>
    <w:rsid w:val="006355CB"/>
    <w:rsid w:val="00635D01"/>
    <w:rsid w:val="00635F03"/>
    <w:rsid w:val="0063615D"/>
    <w:rsid w:val="006363C7"/>
    <w:rsid w:val="006363DF"/>
    <w:rsid w:val="006367E0"/>
    <w:rsid w:val="00636B17"/>
    <w:rsid w:val="00637264"/>
    <w:rsid w:val="0063743D"/>
    <w:rsid w:val="00637537"/>
    <w:rsid w:val="0063761D"/>
    <w:rsid w:val="006378E0"/>
    <w:rsid w:val="00637ADF"/>
    <w:rsid w:val="00637C38"/>
    <w:rsid w:val="00637D0B"/>
    <w:rsid w:val="00637D95"/>
    <w:rsid w:val="00637EA6"/>
    <w:rsid w:val="006405CA"/>
    <w:rsid w:val="0064068B"/>
    <w:rsid w:val="00640896"/>
    <w:rsid w:val="00640EFE"/>
    <w:rsid w:val="006410D9"/>
    <w:rsid w:val="006411A9"/>
    <w:rsid w:val="006412CB"/>
    <w:rsid w:val="00641D7B"/>
    <w:rsid w:val="00641DB6"/>
    <w:rsid w:val="00641DF3"/>
    <w:rsid w:val="00641F27"/>
    <w:rsid w:val="006421F9"/>
    <w:rsid w:val="0064229C"/>
    <w:rsid w:val="00642506"/>
    <w:rsid w:val="00642764"/>
    <w:rsid w:val="006432C1"/>
    <w:rsid w:val="006432EE"/>
    <w:rsid w:val="00643569"/>
    <w:rsid w:val="006435E2"/>
    <w:rsid w:val="0064440E"/>
    <w:rsid w:val="006444B3"/>
    <w:rsid w:val="006444B8"/>
    <w:rsid w:val="00644820"/>
    <w:rsid w:val="00644E77"/>
    <w:rsid w:val="00645326"/>
    <w:rsid w:val="0064578E"/>
    <w:rsid w:val="0064589E"/>
    <w:rsid w:val="00645C70"/>
    <w:rsid w:val="00645EA2"/>
    <w:rsid w:val="00646361"/>
    <w:rsid w:val="0064670E"/>
    <w:rsid w:val="0064674E"/>
    <w:rsid w:val="0064677F"/>
    <w:rsid w:val="00646923"/>
    <w:rsid w:val="00647236"/>
    <w:rsid w:val="00647762"/>
    <w:rsid w:val="006479FD"/>
    <w:rsid w:val="00647C04"/>
    <w:rsid w:val="00647FE7"/>
    <w:rsid w:val="006501DC"/>
    <w:rsid w:val="00650502"/>
    <w:rsid w:val="006505E3"/>
    <w:rsid w:val="00650957"/>
    <w:rsid w:val="00650B51"/>
    <w:rsid w:val="00650D74"/>
    <w:rsid w:val="006510FC"/>
    <w:rsid w:val="00651590"/>
    <w:rsid w:val="00651985"/>
    <w:rsid w:val="00651DAB"/>
    <w:rsid w:val="00652589"/>
    <w:rsid w:val="0065306B"/>
    <w:rsid w:val="0065327E"/>
    <w:rsid w:val="006532F7"/>
    <w:rsid w:val="0065345E"/>
    <w:rsid w:val="006539A5"/>
    <w:rsid w:val="00653AB7"/>
    <w:rsid w:val="00653C4E"/>
    <w:rsid w:val="006540EB"/>
    <w:rsid w:val="0065422D"/>
    <w:rsid w:val="00654260"/>
    <w:rsid w:val="006542AE"/>
    <w:rsid w:val="00654463"/>
    <w:rsid w:val="00654560"/>
    <w:rsid w:val="0065462A"/>
    <w:rsid w:val="00654B6A"/>
    <w:rsid w:val="00654E0D"/>
    <w:rsid w:val="00654F99"/>
    <w:rsid w:val="00654FE0"/>
    <w:rsid w:val="0065578F"/>
    <w:rsid w:val="0065597B"/>
    <w:rsid w:val="00655AE4"/>
    <w:rsid w:val="00656056"/>
    <w:rsid w:val="0065625A"/>
    <w:rsid w:val="006564E3"/>
    <w:rsid w:val="00656A1C"/>
    <w:rsid w:val="00656B02"/>
    <w:rsid w:val="00656B79"/>
    <w:rsid w:val="00657769"/>
    <w:rsid w:val="006578C3"/>
    <w:rsid w:val="006579CF"/>
    <w:rsid w:val="00657A37"/>
    <w:rsid w:val="00657A96"/>
    <w:rsid w:val="00657C31"/>
    <w:rsid w:val="00660033"/>
    <w:rsid w:val="006600DC"/>
    <w:rsid w:val="006602AD"/>
    <w:rsid w:val="00660EAE"/>
    <w:rsid w:val="00661268"/>
    <w:rsid w:val="00661758"/>
    <w:rsid w:val="00661D8B"/>
    <w:rsid w:val="0066218B"/>
    <w:rsid w:val="00662836"/>
    <w:rsid w:val="0066283F"/>
    <w:rsid w:val="00662AAA"/>
    <w:rsid w:val="00662C1D"/>
    <w:rsid w:val="00662E80"/>
    <w:rsid w:val="00662F24"/>
    <w:rsid w:val="006630F6"/>
    <w:rsid w:val="00663C41"/>
    <w:rsid w:val="006646CE"/>
    <w:rsid w:val="00664920"/>
    <w:rsid w:val="0066544D"/>
    <w:rsid w:val="0066621B"/>
    <w:rsid w:val="0066721B"/>
    <w:rsid w:val="006674C6"/>
    <w:rsid w:val="00667702"/>
    <w:rsid w:val="00670503"/>
    <w:rsid w:val="0067061A"/>
    <w:rsid w:val="0067085C"/>
    <w:rsid w:val="00670A69"/>
    <w:rsid w:val="00670E7D"/>
    <w:rsid w:val="00670FAA"/>
    <w:rsid w:val="00670FED"/>
    <w:rsid w:val="0067144F"/>
    <w:rsid w:val="00671577"/>
    <w:rsid w:val="006715F8"/>
    <w:rsid w:val="0067165D"/>
    <w:rsid w:val="006716E3"/>
    <w:rsid w:val="006716E6"/>
    <w:rsid w:val="00671714"/>
    <w:rsid w:val="006718F5"/>
    <w:rsid w:val="00671963"/>
    <w:rsid w:val="00671A65"/>
    <w:rsid w:val="00671B15"/>
    <w:rsid w:val="00671EC1"/>
    <w:rsid w:val="006722E2"/>
    <w:rsid w:val="00672322"/>
    <w:rsid w:val="00672553"/>
    <w:rsid w:val="00672642"/>
    <w:rsid w:val="006728C6"/>
    <w:rsid w:val="006728ED"/>
    <w:rsid w:val="00672E9D"/>
    <w:rsid w:val="00672F1F"/>
    <w:rsid w:val="00672FDA"/>
    <w:rsid w:val="006735EF"/>
    <w:rsid w:val="006736BC"/>
    <w:rsid w:val="00673BE4"/>
    <w:rsid w:val="00673C25"/>
    <w:rsid w:val="00673C28"/>
    <w:rsid w:val="006741BB"/>
    <w:rsid w:val="006744CE"/>
    <w:rsid w:val="00674970"/>
    <w:rsid w:val="00675098"/>
    <w:rsid w:val="006757A1"/>
    <w:rsid w:val="00675C0F"/>
    <w:rsid w:val="00675F46"/>
    <w:rsid w:val="006766CB"/>
    <w:rsid w:val="00676828"/>
    <w:rsid w:val="00676A03"/>
    <w:rsid w:val="00676A70"/>
    <w:rsid w:val="00676DB2"/>
    <w:rsid w:val="00676FB4"/>
    <w:rsid w:val="0067700E"/>
    <w:rsid w:val="006774D3"/>
    <w:rsid w:val="00677507"/>
    <w:rsid w:val="00677AA6"/>
    <w:rsid w:val="006800CB"/>
    <w:rsid w:val="006801A6"/>
    <w:rsid w:val="00680530"/>
    <w:rsid w:val="006808BF"/>
    <w:rsid w:val="00680C0E"/>
    <w:rsid w:val="00680E3D"/>
    <w:rsid w:val="00681CBA"/>
    <w:rsid w:val="00681DF9"/>
    <w:rsid w:val="00681E2F"/>
    <w:rsid w:val="0068215E"/>
    <w:rsid w:val="00682695"/>
    <w:rsid w:val="006828BD"/>
    <w:rsid w:val="00682C21"/>
    <w:rsid w:val="00682D05"/>
    <w:rsid w:val="00682D31"/>
    <w:rsid w:val="00682E31"/>
    <w:rsid w:val="00683386"/>
    <w:rsid w:val="0068339D"/>
    <w:rsid w:val="00683E70"/>
    <w:rsid w:val="00683FB2"/>
    <w:rsid w:val="00683FE8"/>
    <w:rsid w:val="006842CF"/>
    <w:rsid w:val="006844CC"/>
    <w:rsid w:val="0068462F"/>
    <w:rsid w:val="00684B13"/>
    <w:rsid w:val="00684FE2"/>
    <w:rsid w:val="00685142"/>
    <w:rsid w:val="006852B5"/>
    <w:rsid w:val="00685772"/>
    <w:rsid w:val="0068590F"/>
    <w:rsid w:val="00685B90"/>
    <w:rsid w:val="00686131"/>
    <w:rsid w:val="0068677A"/>
    <w:rsid w:val="00686C33"/>
    <w:rsid w:val="00686C81"/>
    <w:rsid w:val="00686CAF"/>
    <w:rsid w:val="00686F76"/>
    <w:rsid w:val="00686FD4"/>
    <w:rsid w:val="00687293"/>
    <w:rsid w:val="006873A4"/>
    <w:rsid w:val="00687647"/>
    <w:rsid w:val="006877FF"/>
    <w:rsid w:val="00687806"/>
    <w:rsid w:val="0068784A"/>
    <w:rsid w:val="00687901"/>
    <w:rsid w:val="00687AC4"/>
    <w:rsid w:val="00687AE4"/>
    <w:rsid w:val="00687BF8"/>
    <w:rsid w:val="00687CF1"/>
    <w:rsid w:val="00690564"/>
    <w:rsid w:val="006905C3"/>
    <w:rsid w:val="006905D0"/>
    <w:rsid w:val="006908B0"/>
    <w:rsid w:val="00690D1A"/>
    <w:rsid w:val="00690F83"/>
    <w:rsid w:val="0069111A"/>
    <w:rsid w:val="0069117C"/>
    <w:rsid w:val="006911ED"/>
    <w:rsid w:val="006915A6"/>
    <w:rsid w:val="006915DC"/>
    <w:rsid w:val="00691AAC"/>
    <w:rsid w:val="00691D5C"/>
    <w:rsid w:val="0069208D"/>
    <w:rsid w:val="006920E0"/>
    <w:rsid w:val="006921E4"/>
    <w:rsid w:val="00692410"/>
    <w:rsid w:val="00692474"/>
    <w:rsid w:val="006924D0"/>
    <w:rsid w:val="00692D34"/>
    <w:rsid w:val="00692E9D"/>
    <w:rsid w:val="00692F78"/>
    <w:rsid w:val="00693048"/>
    <w:rsid w:val="006930DC"/>
    <w:rsid w:val="00693184"/>
    <w:rsid w:val="00693209"/>
    <w:rsid w:val="00693483"/>
    <w:rsid w:val="00694177"/>
    <w:rsid w:val="00694924"/>
    <w:rsid w:val="00694FF4"/>
    <w:rsid w:val="0069570E"/>
    <w:rsid w:val="006957D4"/>
    <w:rsid w:val="00695A39"/>
    <w:rsid w:val="00695B16"/>
    <w:rsid w:val="00696084"/>
    <w:rsid w:val="006960A7"/>
    <w:rsid w:val="006962FE"/>
    <w:rsid w:val="006964AD"/>
    <w:rsid w:val="006966CE"/>
    <w:rsid w:val="00696A47"/>
    <w:rsid w:val="00696D2F"/>
    <w:rsid w:val="00696FE4"/>
    <w:rsid w:val="00697374"/>
    <w:rsid w:val="00697623"/>
    <w:rsid w:val="00697923"/>
    <w:rsid w:val="00697972"/>
    <w:rsid w:val="00697B37"/>
    <w:rsid w:val="00697C5E"/>
    <w:rsid w:val="00697EC5"/>
    <w:rsid w:val="00697ECD"/>
    <w:rsid w:val="00697F48"/>
    <w:rsid w:val="006A04A8"/>
    <w:rsid w:val="006A078B"/>
    <w:rsid w:val="006A0A10"/>
    <w:rsid w:val="006A0A9D"/>
    <w:rsid w:val="006A119D"/>
    <w:rsid w:val="006A1288"/>
    <w:rsid w:val="006A156A"/>
    <w:rsid w:val="006A15BF"/>
    <w:rsid w:val="006A1962"/>
    <w:rsid w:val="006A1A3D"/>
    <w:rsid w:val="006A1BC7"/>
    <w:rsid w:val="006A1CF8"/>
    <w:rsid w:val="006A1D74"/>
    <w:rsid w:val="006A2127"/>
    <w:rsid w:val="006A2220"/>
    <w:rsid w:val="006A22DF"/>
    <w:rsid w:val="006A27E0"/>
    <w:rsid w:val="006A29A8"/>
    <w:rsid w:val="006A2B34"/>
    <w:rsid w:val="006A2C19"/>
    <w:rsid w:val="006A32C8"/>
    <w:rsid w:val="006A3B12"/>
    <w:rsid w:val="006A4276"/>
    <w:rsid w:val="006A497C"/>
    <w:rsid w:val="006A4B09"/>
    <w:rsid w:val="006A4CAA"/>
    <w:rsid w:val="006A5043"/>
    <w:rsid w:val="006A516A"/>
    <w:rsid w:val="006A5602"/>
    <w:rsid w:val="006A5E25"/>
    <w:rsid w:val="006A5E26"/>
    <w:rsid w:val="006A5EA8"/>
    <w:rsid w:val="006A6435"/>
    <w:rsid w:val="006A67CF"/>
    <w:rsid w:val="006A6827"/>
    <w:rsid w:val="006A6930"/>
    <w:rsid w:val="006A6B3A"/>
    <w:rsid w:val="006A6E49"/>
    <w:rsid w:val="006A6F5B"/>
    <w:rsid w:val="006A72F0"/>
    <w:rsid w:val="006A741A"/>
    <w:rsid w:val="006A7ED4"/>
    <w:rsid w:val="006A7F18"/>
    <w:rsid w:val="006A7F5B"/>
    <w:rsid w:val="006B0267"/>
    <w:rsid w:val="006B0375"/>
    <w:rsid w:val="006B07B1"/>
    <w:rsid w:val="006B0843"/>
    <w:rsid w:val="006B0E25"/>
    <w:rsid w:val="006B0F0F"/>
    <w:rsid w:val="006B1023"/>
    <w:rsid w:val="006B1145"/>
    <w:rsid w:val="006B134D"/>
    <w:rsid w:val="006B15E8"/>
    <w:rsid w:val="006B17E0"/>
    <w:rsid w:val="006B1B2F"/>
    <w:rsid w:val="006B1BA1"/>
    <w:rsid w:val="006B2340"/>
    <w:rsid w:val="006B2554"/>
    <w:rsid w:val="006B255D"/>
    <w:rsid w:val="006B25DF"/>
    <w:rsid w:val="006B25E9"/>
    <w:rsid w:val="006B2A43"/>
    <w:rsid w:val="006B2D5C"/>
    <w:rsid w:val="006B305C"/>
    <w:rsid w:val="006B3B83"/>
    <w:rsid w:val="006B3C81"/>
    <w:rsid w:val="006B3F63"/>
    <w:rsid w:val="006B4020"/>
    <w:rsid w:val="006B44FE"/>
    <w:rsid w:val="006B46CF"/>
    <w:rsid w:val="006B4A41"/>
    <w:rsid w:val="006B4A62"/>
    <w:rsid w:val="006B5942"/>
    <w:rsid w:val="006B5AE9"/>
    <w:rsid w:val="006B5E2D"/>
    <w:rsid w:val="006B6A83"/>
    <w:rsid w:val="006B6B11"/>
    <w:rsid w:val="006B6C4E"/>
    <w:rsid w:val="006B7158"/>
    <w:rsid w:val="006B742F"/>
    <w:rsid w:val="006B797B"/>
    <w:rsid w:val="006B7E98"/>
    <w:rsid w:val="006B7F49"/>
    <w:rsid w:val="006C0282"/>
    <w:rsid w:val="006C054B"/>
    <w:rsid w:val="006C0A24"/>
    <w:rsid w:val="006C0C37"/>
    <w:rsid w:val="006C14C9"/>
    <w:rsid w:val="006C15CF"/>
    <w:rsid w:val="006C198E"/>
    <w:rsid w:val="006C1DD9"/>
    <w:rsid w:val="006C2135"/>
    <w:rsid w:val="006C2248"/>
    <w:rsid w:val="006C356B"/>
    <w:rsid w:val="006C36EC"/>
    <w:rsid w:val="006C370E"/>
    <w:rsid w:val="006C38AA"/>
    <w:rsid w:val="006C3BBC"/>
    <w:rsid w:val="006C4130"/>
    <w:rsid w:val="006C42CF"/>
    <w:rsid w:val="006C4383"/>
    <w:rsid w:val="006C4CCC"/>
    <w:rsid w:val="006C4EA9"/>
    <w:rsid w:val="006C4EB8"/>
    <w:rsid w:val="006C50DE"/>
    <w:rsid w:val="006C5122"/>
    <w:rsid w:val="006C51F3"/>
    <w:rsid w:val="006C5587"/>
    <w:rsid w:val="006C56B8"/>
    <w:rsid w:val="006C5740"/>
    <w:rsid w:val="006C57F4"/>
    <w:rsid w:val="006C5AD3"/>
    <w:rsid w:val="006C5B1C"/>
    <w:rsid w:val="006C5B96"/>
    <w:rsid w:val="006C605E"/>
    <w:rsid w:val="006C6069"/>
    <w:rsid w:val="006C619F"/>
    <w:rsid w:val="006C6523"/>
    <w:rsid w:val="006C672E"/>
    <w:rsid w:val="006C68E8"/>
    <w:rsid w:val="006C69DC"/>
    <w:rsid w:val="006C6B3E"/>
    <w:rsid w:val="006C6FCB"/>
    <w:rsid w:val="006C7056"/>
    <w:rsid w:val="006C73B3"/>
    <w:rsid w:val="006C7562"/>
    <w:rsid w:val="006C77AB"/>
    <w:rsid w:val="006C79C3"/>
    <w:rsid w:val="006C79D1"/>
    <w:rsid w:val="006C7D88"/>
    <w:rsid w:val="006C7E90"/>
    <w:rsid w:val="006C7F0C"/>
    <w:rsid w:val="006D0232"/>
    <w:rsid w:val="006D031D"/>
    <w:rsid w:val="006D03FA"/>
    <w:rsid w:val="006D058F"/>
    <w:rsid w:val="006D09AE"/>
    <w:rsid w:val="006D09B1"/>
    <w:rsid w:val="006D0AC1"/>
    <w:rsid w:val="006D0CC1"/>
    <w:rsid w:val="006D1061"/>
    <w:rsid w:val="006D11A8"/>
    <w:rsid w:val="006D17A6"/>
    <w:rsid w:val="006D19C4"/>
    <w:rsid w:val="006D1EA5"/>
    <w:rsid w:val="006D2269"/>
    <w:rsid w:val="006D2743"/>
    <w:rsid w:val="006D28A7"/>
    <w:rsid w:val="006D28C8"/>
    <w:rsid w:val="006D2E9D"/>
    <w:rsid w:val="006D3366"/>
    <w:rsid w:val="006D3CBC"/>
    <w:rsid w:val="006D3DAE"/>
    <w:rsid w:val="006D41D4"/>
    <w:rsid w:val="006D4525"/>
    <w:rsid w:val="006D47ED"/>
    <w:rsid w:val="006D49A0"/>
    <w:rsid w:val="006D4A3E"/>
    <w:rsid w:val="006D4B7D"/>
    <w:rsid w:val="006D5104"/>
    <w:rsid w:val="006D5413"/>
    <w:rsid w:val="006D54EA"/>
    <w:rsid w:val="006D55EA"/>
    <w:rsid w:val="006D5738"/>
    <w:rsid w:val="006D5771"/>
    <w:rsid w:val="006D5CC3"/>
    <w:rsid w:val="006D5FB2"/>
    <w:rsid w:val="006D61B4"/>
    <w:rsid w:val="006D6BF0"/>
    <w:rsid w:val="006D6D0B"/>
    <w:rsid w:val="006D730B"/>
    <w:rsid w:val="006D738D"/>
    <w:rsid w:val="006D7ED3"/>
    <w:rsid w:val="006E0196"/>
    <w:rsid w:val="006E02AB"/>
    <w:rsid w:val="006E0536"/>
    <w:rsid w:val="006E075F"/>
    <w:rsid w:val="006E0926"/>
    <w:rsid w:val="006E092F"/>
    <w:rsid w:val="006E0B19"/>
    <w:rsid w:val="006E0B2E"/>
    <w:rsid w:val="006E0F76"/>
    <w:rsid w:val="006E16E4"/>
    <w:rsid w:val="006E17B7"/>
    <w:rsid w:val="006E1997"/>
    <w:rsid w:val="006E202A"/>
    <w:rsid w:val="006E2147"/>
    <w:rsid w:val="006E22CE"/>
    <w:rsid w:val="006E28B1"/>
    <w:rsid w:val="006E2B1A"/>
    <w:rsid w:val="006E2BF6"/>
    <w:rsid w:val="006E2E99"/>
    <w:rsid w:val="006E334C"/>
    <w:rsid w:val="006E37A5"/>
    <w:rsid w:val="006E3B3E"/>
    <w:rsid w:val="006E4226"/>
    <w:rsid w:val="006E484E"/>
    <w:rsid w:val="006E4DD6"/>
    <w:rsid w:val="006E4E1F"/>
    <w:rsid w:val="006E4EA0"/>
    <w:rsid w:val="006E515E"/>
    <w:rsid w:val="006E5298"/>
    <w:rsid w:val="006E52A4"/>
    <w:rsid w:val="006E54D1"/>
    <w:rsid w:val="006E5648"/>
    <w:rsid w:val="006E565D"/>
    <w:rsid w:val="006E56C7"/>
    <w:rsid w:val="006E5E86"/>
    <w:rsid w:val="006E5FB5"/>
    <w:rsid w:val="006E6009"/>
    <w:rsid w:val="006E623E"/>
    <w:rsid w:val="006E657C"/>
    <w:rsid w:val="006E67BA"/>
    <w:rsid w:val="006E68C5"/>
    <w:rsid w:val="006E6CD1"/>
    <w:rsid w:val="006E6E4C"/>
    <w:rsid w:val="006E6E50"/>
    <w:rsid w:val="006E6F0A"/>
    <w:rsid w:val="006E7060"/>
    <w:rsid w:val="006E725F"/>
    <w:rsid w:val="006E7437"/>
    <w:rsid w:val="006E75B3"/>
    <w:rsid w:val="006E773A"/>
    <w:rsid w:val="006E776D"/>
    <w:rsid w:val="006E7E84"/>
    <w:rsid w:val="006F0646"/>
    <w:rsid w:val="006F15ED"/>
    <w:rsid w:val="006F1919"/>
    <w:rsid w:val="006F1AE0"/>
    <w:rsid w:val="006F1B53"/>
    <w:rsid w:val="006F1C55"/>
    <w:rsid w:val="006F1D28"/>
    <w:rsid w:val="006F1EC4"/>
    <w:rsid w:val="006F1FB8"/>
    <w:rsid w:val="006F258F"/>
    <w:rsid w:val="006F2875"/>
    <w:rsid w:val="006F2B46"/>
    <w:rsid w:val="006F2F57"/>
    <w:rsid w:val="006F2FBD"/>
    <w:rsid w:val="006F310B"/>
    <w:rsid w:val="006F3288"/>
    <w:rsid w:val="006F32B5"/>
    <w:rsid w:val="006F38AE"/>
    <w:rsid w:val="006F4124"/>
    <w:rsid w:val="006F44C0"/>
    <w:rsid w:val="006F4511"/>
    <w:rsid w:val="006F45EA"/>
    <w:rsid w:val="006F4CD9"/>
    <w:rsid w:val="006F4F34"/>
    <w:rsid w:val="006F53A0"/>
    <w:rsid w:val="006F5668"/>
    <w:rsid w:val="006F5FA2"/>
    <w:rsid w:val="006F6446"/>
    <w:rsid w:val="006F64C2"/>
    <w:rsid w:val="006F65E4"/>
    <w:rsid w:val="006F65FB"/>
    <w:rsid w:val="006F6609"/>
    <w:rsid w:val="006F6647"/>
    <w:rsid w:val="006F67CA"/>
    <w:rsid w:val="006F68EC"/>
    <w:rsid w:val="006F6ABA"/>
    <w:rsid w:val="006F6BB0"/>
    <w:rsid w:val="006F6D8E"/>
    <w:rsid w:val="006F6E73"/>
    <w:rsid w:val="006F6F91"/>
    <w:rsid w:val="006F75C0"/>
    <w:rsid w:val="006F766A"/>
    <w:rsid w:val="006F78AF"/>
    <w:rsid w:val="006F797E"/>
    <w:rsid w:val="006F79A7"/>
    <w:rsid w:val="0070026A"/>
    <w:rsid w:val="00700410"/>
    <w:rsid w:val="007005F3"/>
    <w:rsid w:val="00700651"/>
    <w:rsid w:val="00700822"/>
    <w:rsid w:val="00700C5B"/>
    <w:rsid w:val="00700DCF"/>
    <w:rsid w:val="007019A5"/>
    <w:rsid w:val="00701EB2"/>
    <w:rsid w:val="00702116"/>
    <w:rsid w:val="00702154"/>
    <w:rsid w:val="007021B8"/>
    <w:rsid w:val="0070250A"/>
    <w:rsid w:val="007028C2"/>
    <w:rsid w:val="00702D2E"/>
    <w:rsid w:val="007030BF"/>
    <w:rsid w:val="0070377E"/>
    <w:rsid w:val="00703946"/>
    <w:rsid w:val="00703A87"/>
    <w:rsid w:val="00703D41"/>
    <w:rsid w:val="00703F69"/>
    <w:rsid w:val="00704749"/>
    <w:rsid w:val="00704C5C"/>
    <w:rsid w:val="007053EF"/>
    <w:rsid w:val="00705484"/>
    <w:rsid w:val="007054D4"/>
    <w:rsid w:val="007055F0"/>
    <w:rsid w:val="00705777"/>
    <w:rsid w:val="00705886"/>
    <w:rsid w:val="00705D4D"/>
    <w:rsid w:val="00705F39"/>
    <w:rsid w:val="00705FA6"/>
    <w:rsid w:val="0070645E"/>
    <w:rsid w:val="007068E6"/>
    <w:rsid w:val="00706EB3"/>
    <w:rsid w:val="00707319"/>
    <w:rsid w:val="007073E7"/>
    <w:rsid w:val="007078A8"/>
    <w:rsid w:val="00707E63"/>
    <w:rsid w:val="00707EEF"/>
    <w:rsid w:val="00707F0F"/>
    <w:rsid w:val="007103FC"/>
    <w:rsid w:val="00710445"/>
    <w:rsid w:val="007105FA"/>
    <w:rsid w:val="0071066E"/>
    <w:rsid w:val="007106A6"/>
    <w:rsid w:val="0071077B"/>
    <w:rsid w:val="00710810"/>
    <w:rsid w:val="00710A4D"/>
    <w:rsid w:val="00710DEF"/>
    <w:rsid w:val="00710F09"/>
    <w:rsid w:val="0071115A"/>
    <w:rsid w:val="007112CB"/>
    <w:rsid w:val="007113CF"/>
    <w:rsid w:val="0071166E"/>
    <w:rsid w:val="007116F5"/>
    <w:rsid w:val="00711708"/>
    <w:rsid w:val="0071172E"/>
    <w:rsid w:val="00711777"/>
    <w:rsid w:val="00711ADC"/>
    <w:rsid w:val="00711B4C"/>
    <w:rsid w:val="00711BB4"/>
    <w:rsid w:val="00712060"/>
    <w:rsid w:val="0071231E"/>
    <w:rsid w:val="0071265A"/>
    <w:rsid w:val="007127AD"/>
    <w:rsid w:val="00712891"/>
    <w:rsid w:val="00712E89"/>
    <w:rsid w:val="00713840"/>
    <w:rsid w:val="007138D0"/>
    <w:rsid w:val="00713BED"/>
    <w:rsid w:val="00713CA5"/>
    <w:rsid w:val="00713E64"/>
    <w:rsid w:val="007144FE"/>
    <w:rsid w:val="007145CD"/>
    <w:rsid w:val="007149AE"/>
    <w:rsid w:val="00714A21"/>
    <w:rsid w:val="00714A4A"/>
    <w:rsid w:val="00714D7B"/>
    <w:rsid w:val="00714E88"/>
    <w:rsid w:val="007150F3"/>
    <w:rsid w:val="007159AF"/>
    <w:rsid w:val="0071610B"/>
    <w:rsid w:val="00716400"/>
    <w:rsid w:val="00716492"/>
    <w:rsid w:val="00716535"/>
    <w:rsid w:val="00716C64"/>
    <w:rsid w:val="00716D56"/>
    <w:rsid w:val="00717024"/>
    <w:rsid w:val="0071702A"/>
    <w:rsid w:val="00717047"/>
    <w:rsid w:val="00717254"/>
    <w:rsid w:val="007172AE"/>
    <w:rsid w:val="00717412"/>
    <w:rsid w:val="0071781D"/>
    <w:rsid w:val="00717ADA"/>
    <w:rsid w:val="00717B0E"/>
    <w:rsid w:val="00717BF2"/>
    <w:rsid w:val="00717E7E"/>
    <w:rsid w:val="00717EF5"/>
    <w:rsid w:val="00717F95"/>
    <w:rsid w:val="0072017D"/>
    <w:rsid w:val="007201BB"/>
    <w:rsid w:val="00720457"/>
    <w:rsid w:val="00720A9C"/>
    <w:rsid w:val="00720C56"/>
    <w:rsid w:val="00721124"/>
    <w:rsid w:val="0072125A"/>
    <w:rsid w:val="00721439"/>
    <w:rsid w:val="0072147E"/>
    <w:rsid w:val="007214B2"/>
    <w:rsid w:val="007214EC"/>
    <w:rsid w:val="00721950"/>
    <w:rsid w:val="00721AE7"/>
    <w:rsid w:val="00721ECC"/>
    <w:rsid w:val="007220D0"/>
    <w:rsid w:val="00722189"/>
    <w:rsid w:val="0072269E"/>
    <w:rsid w:val="00722898"/>
    <w:rsid w:val="00722AF7"/>
    <w:rsid w:val="00723090"/>
    <w:rsid w:val="007231D1"/>
    <w:rsid w:val="007235A4"/>
    <w:rsid w:val="00723946"/>
    <w:rsid w:val="00723A9E"/>
    <w:rsid w:val="00723C37"/>
    <w:rsid w:val="0072498D"/>
    <w:rsid w:val="007249BD"/>
    <w:rsid w:val="00724D4C"/>
    <w:rsid w:val="00724EBD"/>
    <w:rsid w:val="00725001"/>
    <w:rsid w:val="00725717"/>
    <w:rsid w:val="007258CA"/>
    <w:rsid w:val="0072621F"/>
    <w:rsid w:val="0072635E"/>
    <w:rsid w:val="007264DC"/>
    <w:rsid w:val="0072656C"/>
    <w:rsid w:val="007267B3"/>
    <w:rsid w:val="00726802"/>
    <w:rsid w:val="00726A5B"/>
    <w:rsid w:val="00726A6F"/>
    <w:rsid w:val="00726DC8"/>
    <w:rsid w:val="00727284"/>
    <w:rsid w:val="00727A4F"/>
    <w:rsid w:val="00727A96"/>
    <w:rsid w:val="00727AEF"/>
    <w:rsid w:val="00727D91"/>
    <w:rsid w:val="0073064A"/>
    <w:rsid w:val="00730673"/>
    <w:rsid w:val="00730786"/>
    <w:rsid w:val="00730A3E"/>
    <w:rsid w:val="00730DB9"/>
    <w:rsid w:val="00730EF4"/>
    <w:rsid w:val="007311F8"/>
    <w:rsid w:val="00731AAD"/>
    <w:rsid w:val="00731AE0"/>
    <w:rsid w:val="00732477"/>
    <w:rsid w:val="007326D2"/>
    <w:rsid w:val="00732896"/>
    <w:rsid w:val="007329FD"/>
    <w:rsid w:val="00732D41"/>
    <w:rsid w:val="00732E1C"/>
    <w:rsid w:val="007337BF"/>
    <w:rsid w:val="0073394C"/>
    <w:rsid w:val="00733E4B"/>
    <w:rsid w:val="0073469E"/>
    <w:rsid w:val="0073492B"/>
    <w:rsid w:val="00734A70"/>
    <w:rsid w:val="00734BBF"/>
    <w:rsid w:val="00734E7C"/>
    <w:rsid w:val="007360E5"/>
    <w:rsid w:val="00736265"/>
    <w:rsid w:val="00736305"/>
    <w:rsid w:val="007366E1"/>
    <w:rsid w:val="00736780"/>
    <w:rsid w:val="007368F4"/>
    <w:rsid w:val="00736900"/>
    <w:rsid w:val="00736F6F"/>
    <w:rsid w:val="00736F94"/>
    <w:rsid w:val="007375AD"/>
    <w:rsid w:val="00737790"/>
    <w:rsid w:val="00737D5C"/>
    <w:rsid w:val="00737D89"/>
    <w:rsid w:val="00737F47"/>
    <w:rsid w:val="0074012B"/>
    <w:rsid w:val="0074068C"/>
    <w:rsid w:val="007406EF"/>
    <w:rsid w:val="00740831"/>
    <w:rsid w:val="00740B6E"/>
    <w:rsid w:val="00740D7B"/>
    <w:rsid w:val="00740E60"/>
    <w:rsid w:val="00740E9E"/>
    <w:rsid w:val="00740FA0"/>
    <w:rsid w:val="007410F7"/>
    <w:rsid w:val="00741511"/>
    <w:rsid w:val="00741992"/>
    <w:rsid w:val="00741DB0"/>
    <w:rsid w:val="00742B9B"/>
    <w:rsid w:val="00742F5E"/>
    <w:rsid w:val="00743098"/>
    <w:rsid w:val="00743120"/>
    <w:rsid w:val="007431C7"/>
    <w:rsid w:val="007435E7"/>
    <w:rsid w:val="00743C7F"/>
    <w:rsid w:val="00743EB8"/>
    <w:rsid w:val="00743F92"/>
    <w:rsid w:val="007441FF"/>
    <w:rsid w:val="0074442E"/>
    <w:rsid w:val="00744476"/>
    <w:rsid w:val="007445C0"/>
    <w:rsid w:val="007449E6"/>
    <w:rsid w:val="00744ABA"/>
    <w:rsid w:val="00744E92"/>
    <w:rsid w:val="00744FEB"/>
    <w:rsid w:val="007450C3"/>
    <w:rsid w:val="00745115"/>
    <w:rsid w:val="007456C0"/>
    <w:rsid w:val="00745788"/>
    <w:rsid w:val="00745A81"/>
    <w:rsid w:val="00746758"/>
    <w:rsid w:val="00746815"/>
    <w:rsid w:val="00746B22"/>
    <w:rsid w:val="00746BB4"/>
    <w:rsid w:val="00746DC2"/>
    <w:rsid w:val="00746EA1"/>
    <w:rsid w:val="007472E2"/>
    <w:rsid w:val="00747375"/>
    <w:rsid w:val="007477A1"/>
    <w:rsid w:val="00747983"/>
    <w:rsid w:val="00747F86"/>
    <w:rsid w:val="00750360"/>
    <w:rsid w:val="00750649"/>
    <w:rsid w:val="007508DB"/>
    <w:rsid w:val="007508FB"/>
    <w:rsid w:val="00750C21"/>
    <w:rsid w:val="00750E58"/>
    <w:rsid w:val="007512B0"/>
    <w:rsid w:val="0075168E"/>
    <w:rsid w:val="007519EA"/>
    <w:rsid w:val="00752216"/>
    <w:rsid w:val="00752319"/>
    <w:rsid w:val="007523A9"/>
    <w:rsid w:val="0075257B"/>
    <w:rsid w:val="0075297F"/>
    <w:rsid w:val="00752CBD"/>
    <w:rsid w:val="00753006"/>
    <w:rsid w:val="00753114"/>
    <w:rsid w:val="00753288"/>
    <w:rsid w:val="0075377B"/>
    <w:rsid w:val="007537D4"/>
    <w:rsid w:val="007538B1"/>
    <w:rsid w:val="00753C92"/>
    <w:rsid w:val="00753E59"/>
    <w:rsid w:val="00754097"/>
    <w:rsid w:val="007542F8"/>
    <w:rsid w:val="007547D1"/>
    <w:rsid w:val="00754905"/>
    <w:rsid w:val="007549C0"/>
    <w:rsid w:val="00754AFC"/>
    <w:rsid w:val="007552E3"/>
    <w:rsid w:val="00755D42"/>
    <w:rsid w:val="00756305"/>
    <w:rsid w:val="00756311"/>
    <w:rsid w:val="007570F1"/>
    <w:rsid w:val="00757100"/>
    <w:rsid w:val="007576AD"/>
    <w:rsid w:val="00757828"/>
    <w:rsid w:val="00757995"/>
    <w:rsid w:val="00757BD3"/>
    <w:rsid w:val="00757D55"/>
    <w:rsid w:val="007603B0"/>
    <w:rsid w:val="00760497"/>
    <w:rsid w:val="00760626"/>
    <w:rsid w:val="00760E97"/>
    <w:rsid w:val="00760EF2"/>
    <w:rsid w:val="00761343"/>
    <w:rsid w:val="00761601"/>
    <w:rsid w:val="0076192B"/>
    <w:rsid w:val="00761B48"/>
    <w:rsid w:val="00761E2A"/>
    <w:rsid w:val="00762138"/>
    <w:rsid w:val="007623DC"/>
    <w:rsid w:val="007626D1"/>
    <w:rsid w:val="0076284D"/>
    <w:rsid w:val="007628AF"/>
    <w:rsid w:val="00762C98"/>
    <w:rsid w:val="00762D40"/>
    <w:rsid w:val="00762D76"/>
    <w:rsid w:val="00762F1E"/>
    <w:rsid w:val="00763184"/>
    <w:rsid w:val="0076365F"/>
    <w:rsid w:val="007637B2"/>
    <w:rsid w:val="00763A3E"/>
    <w:rsid w:val="00763EE5"/>
    <w:rsid w:val="00764A45"/>
    <w:rsid w:val="00764A8D"/>
    <w:rsid w:val="00764EDC"/>
    <w:rsid w:val="007652CC"/>
    <w:rsid w:val="007652E3"/>
    <w:rsid w:val="00765474"/>
    <w:rsid w:val="00765D2F"/>
    <w:rsid w:val="00765FCB"/>
    <w:rsid w:val="007664EE"/>
    <w:rsid w:val="00766ACE"/>
    <w:rsid w:val="00766E37"/>
    <w:rsid w:val="00766E7B"/>
    <w:rsid w:val="00767046"/>
    <w:rsid w:val="00767144"/>
    <w:rsid w:val="0076725A"/>
    <w:rsid w:val="007677E2"/>
    <w:rsid w:val="007679E6"/>
    <w:rsid w:val="00767CB3"/>
    <w:rsid w:val="00767DE5"/>
    <w:rsid w:val="00767EC1"/>
    <w:rsid w:val="007705CE"/>
    <w:rsid w:val="0077089D"/>
    <w:rsid w:val="00770B3E"/>
    <w:rsid w:val="00770D50"/>
    <w:rsid w:val="00770DD5"/>
    <w:rsid w:val="007710C5"/>
    <w:rsid w:val="0077124C"/>
    <w:rsid w:val="00771B1C"/>
    <w:rsid w:val="00771C5F"/>
    <w:rsid w:val="007723CC"/>
    <w:rsid w:val="007726A9"/>
    <w:rsid w:val="00772873"/>
    <w:rsid w:val="00772A0C"/>
    <w:rsid w:val="00772D74"/>
    <w:rsid w:val="0077301E"/>
    <w:rsid w:val="00773430"/>
    <w:rsid w:val="00773767"/>
    <w:rsid w:val="00773D77"/>
    <w:rsid w:val="00773FA4"/>
    <w:rsid w:val="00774101"/>
    <w:rsid w:val="00774244"/>
    <w:rsid w:val="007749E1"/>
    <w:rsid w:val="00774B1B"/>
    <w:rsid w:val="00774CA4"/>
    <w:rsid w:val="00774DEB"/>
    <w:rsid w:val="00774F79"/>
    <w:rsid w:val="007750CA"/>
    <w:rsid w:val="00775688"/>
    <w:rsid w:val="007757BE"/>
    <w:rsid w:val="0077580E"/>
    <w:rsid w:val="00775B56"/>
    <w:rsid w:val="00775E1B"/>
    <w:rsid w:val="00775E59"/>
    <w:rsid w:val="00775FEB"/>
    <w:rsid w:val="00776217"/>
    <w:rsid w:val="0077678D"/>
    <w:rsid w:val="007767C5"/>
    <w:rsid w:val="00776953"/>
    <w:rsid w:val="00776A0E"/>
    <w:rsid w:val="00776CC8"/>
    <w:rsid w:val="00776F0F"/>
    <w:rsid w:val="00777022"/>
    <w:rsid w:val="007770AF"/>
    <w:rsid w:val="0077716B"/>
    <w:rsid w:val="0077726E"/>
    <w:rsid w:val="00777275"/>
    <w:rsid w:val="007774D0"/>
    <w:rsid w:val="00777BF0"/>
    <w:rsid w:val="00777EE5"/>
    <w:rsid w:val="007804AE"/>
    <w:rsid w:val="007805EE"/>
    <w:rsid w:val="0078128E"/>
    <w:rsid w:val="00781420"/>
    <w:rsid w:val="007814E1"/>
    <w:rsid w:val="007817EB"/>
    <w:rsid w:val="00781940"/>
    <w:rsid w:val="0078197D"/>
    <w:rsid w:val="00781C1E"/>
    <w:rsid w:val="00782340"/>
    <w:rsid w:val="007823A8"/>
    <w:rsid w:val="00782585"/>
    <w:rsid w:val="00782678"/>
    <w:rsid w:val="0078278A"/>
    <w:rsid w:val="00783076"/>
    <w:rsid w:val="00783393"/>
    <w:rsid w:val="0078344D"/>
    <w:rsid w:val="00783E41"/>
    <w:rsid w:val="00784287"/>
    <w:rsid w:val="007843E2"/>
    <w:rsid w:val="00784834"/>
    <w:rsid w:val="007849E4"/>
    <w:rsid w:val="00785953"/>
    <w:rsid w:val="00785A16"/>
    <w:rsid w:val="00785AB7"/>
    <w:rsid w:val="00785BF0"/>
    <w:rsid w:val="00785E0D"/>
    <w:rsid w:val="00785E6F"/>
    <w:rsid w:val="0078657E"/>
    <w:rsid w:val="00786717"/>
    <w:rsid w:val="00786CD0"/>
    <w:rsid w:val="0078708B"/>
    <w:rsid w:val="00787620"/>
    <w:rsid w:val="007877BF"/>
    <w:rsid w:val="0078787D"/>
    <w:rsid w:val="00787A76"/>
    <w:rsid w:val="007903FB"/>
    <w:rsid w:val="00790433"/>
    <w:rsid w:val="007911E6"/>
    <w:rsid w:val="0079128E"/>
    <w:rsid w:val="00791458"/>
    <w:rsid w:val="00792168"/>
    <w:rsid w:val="007926F7"/>
    <w:rsid w:val="007928BD"/>
    <w:rsid w:val="00792AFA"/>
    <w:rsid w:val="00793302"/>
    <w:rsid w:val="00793851"/>
    <w:rsid w:val="00793939"/>
    <w:rsid w:val="00793B8C"/>
    <w:rsid w:val="00793E96"/>
    <w:rsid w:val="0079414B"/>
    <w:rsid w:val="007944A5"/>
    <w:rsid w:val="00794505"/>
    <w:rsid w:val="007946D9"/>
    <w:rsid w:val="00794A13"/>
    <w:rsid w:val="00794B7D"/>
    <w:rsid w:val="00794D87"/>
    <w:rsid w:val="00794F8F"/>
    <w:rsid w:val="00795184"/>
    <w:rsid w:val="007954D3"/>
    <w:rsid w:val="007957D4"/>
    <w:rsid w:val="007959C7"/>
    <w:rsid w:val="00795B30"/>
    <w:rsid w:val="00795C4B"/>
    <w:rsid w:val="00795C5B"/>
    <w:rsid w:val="00795CB8"/>
    <w:rsid w:val="00795E2A"/>
    <w:rsid w:val="00796147"/>
    <w:rsid w:val="00796181"/>
    <w:rsid w:val="007963D3"/>
    <w:rsid w:val="00796436"/>
    <w:rsid w:val="00796F3B"/>
    <w:rsid w:val="00797022"/>
    <w:rsid w:val="00797648"/>
    <w:rsid w:val="00797AD4"/>
    <w:rsid w:val="00797DEE"/>
    <w:rsid w:val="007A023B"/>
    <w:rsid w:val="007A057B"/>
    <w:rsid w:val="007A0C1D"/>
    <w:rsid w:val="007A0DAD"/>
    <w:rsid w:val="007A132D"/>
    <w:rsid w:val="007A19D8"/>
    <w:rsid w:val="007A1C12"/>
    <w:rsid w:val="007A2187"/>
    <w:rsid w:val="007A2A6C"/>
    <w:rsid w:val="007A2B7A"/>
    <w:rsid w:val="007A34FA"/>
    <w:rsid w:val="007A3996"/>
    <w:rsid w:val="007A3A09"/>
    <w:rsid w:val="007A41D0"/>
    <w:rsid w:val="007A4322"/>
    <w:rsid w:val="007A451C"/>
    <w:rsid w:val="007A4654"/>
    <w:rsid w:val="007A4D9E"/>
    <w:rsid w:val="007A4E75"/>
    <w:rsid w:val="007A5484"/>
    <w:rsid w:val="007A5493"/>
    <w:rsid w:val="007A5505"/>
    <w:rsid w:val="007A554B"/>
    <w:rsid w:val="007A566C"/>
    <w:rsid w:val="007A5DCB"/>
    <w:rsid w:val="007A6043"/>
    <w:rsid w:val="007A6239"/>
    <w:rsid w:val="007A62AE"/>
    <w:rsid w:val="007A62E8"/>
    <w:rsid w:val="007A667B"/>
    <w:rsid w:val="007A66FA"/>
    <w:rsid w:val="007A677E"/>
    <w:rsid w:val="007A703C"/>
    <w:rsid w:val="007A74BE"/>
    <w:rsid w:val="007A76A0"/>
    <w:rsid w:val="007A7DBC"/>
    <w:rsid w:val="007A7FAF"/>
    <w:rsid w:val="007B0343"/>
    <w:rsid w:val="007B05D9"/>
    <w:rsid w:val="007B06B6"/>
    <w:rsid w:val="007B0A0D"/>
    <w:rsid w:val="007B0D26"/>
    <w:rsid w:val="007B0FF2"/>
    <w:rsid w:val="007B13E2"/>
    <w:rsid w:val="007B1575"/>
    <w:rsid w:val="007B1816"/>
    <w:rsid w:val="007B1859"/>
    <w:rsid w:val="007B1BBF"/>
    <w:rsid w:val="007B1C17"/>
    <w:rsid w:val="007B238B"/>
    <w:rsid w:val="007B238C"/>
    <w:rsid w:val="007B2565"/>
    <w:rsid w:val="007B2592"/>
    <w:rsid w:val="007B2675"/>
    <w:rsid w:val="007B267E"/>
    <w:rsid w:val="007B2E0A"/>
    <w:rsid w:val="007B3132"/>
    <w:rsid w:val="007B3189"/>
    <w:rsid w:val="007B32CB"/>
    <w:rsid w:val="007B3482"/>
    <w:rsid w:val="007B3521"/>
    <w:rsid w:val="007B3F2E"/>
    <w:rsid w:val="007B41DB"/>
    <w:rsid w:val="007B4DAA"/>
    <w:rsid w:val="007B5029"/>
    <w:rsid w:val="007B5254"/>
    <w:rsid w:val="007B5347"/>
    <w:rsid w:val="007B6451"/>
    <w:rsid w:val="007B66BC"/>
    <w:rsid w:val="007B6CB5"/>
    <w:rsid w:val="007B6EC9"/>
    <w:rsid w:val="007B6ED6"/>
    <w:rsid w:val="007B6F8A"/>
    <w:rsid w:val="007B764D"/>
    <w:rsid w:val="007B7B16"/>
    <w:rsid w:val="007B7EAA"/>
    <w:rsid w:val="007B7EF5"/>
    <w:rsid w:val="007C04EC"/>
    <w:rsid w:val="007C0607"/>
    <w:rsid w:val="007C0674"/>
    <w:rsid w:val="007C162E"/>
    <w:rsid w:val="007C1664"/>
    <w:rsid w:val="007C16D5"/>
    <w:rsid w:val="007C1704"/>
    <w:rsid w:val="007C1ED9"/>
    <w:rsid w:val="007C1F6A"/>
    <w:rsid w:val="007C24F8"/>
    <w:rsid w:val="007C26BC"/>
    <w:rsid w:val="007C26C4"/>
    <w:rsid w:val="007C2930"/>
    <w:rsid w:val="007C2DF3"/>
    <w:rsid w:val="007C2ECF"/>
    <w:rsid w:val="007C3034"/>
    <w:rsid w:val="007C30A4"/>
    <w:rsid w:val="007C359C"/>
    <w:rsid w:val="007C3B20"/>
    <w:rsid w:val="007C3B69"/>
    <w:rsid w:val="007C3E45"/>
    <w:rsid w:val="007C437E"/>
    <w:rsid w:val="007C4794"/>
    <w:rsid w:val="007C4842"/>
    <w:rsid w:val="007C49CA"/>
    <w:rsid w:val="007C4BA4"/>
    <w:rsid w:val="007C5169"/>
    <w:rsid w:val="007C5772"/>
    <w:rsid w:val="007C58B9"/>
    <w:rsid w:val="007C59E2"/>
    <w:rsid w:val="007C5AF3"/>
    <w:rsid w:val="007C5C07"/>
    <w:rsid w:val="007C5D44"/>
    <w:rsid w:val="007C61CE"/>
    <w:rsid w:val="007C64FA"/>
    <w:rsid w:val="007C6715"/>
    <w:rsid w:val="007C6741"/>
    <w:rsid w:val="007C675B"/>
    <w:rsid w:val="007C69E9"/>
    <w:rsid w:val="007C6ACE"/>
    <w:rsid w:val="007C6F23"/>
    <w:rsid w:val="007C73C2"/>
    <w:rsid w:val="007C74FD"/>
    <w:rsid w:val="007C768B"/>
    <w:rsid w:val="007C77E0"/>
    <w:rsid w:val="007C788C"/>
    <w:rsid w:val="007C79A6"/>
    <w:rsid w:val="007D0352"/>
    <w:rsid w:val="007D0EDF"/>
    <w:rsid w:val="007D0FD8"/>
    <w:rsid w:val="007D1387"/>
    <w:rsid w:val="007D19DC"/>
    <w:rsid w:val="007D1BB1"/>
    <w:rsid w:val="007D1DF3"/>
    <w:rsid w:val="007D21C6"/>
    <w:rsid w:val="007D23F0"/>
    <w:rsid w:val="007D2686"/>
    <w:rsid w:val="007D2752"/>
    <w:rsid w:val="007D2949"/>
    <w:rsid w:val="007D299A"/>
    <w:rsid w:val="007D2A56"/>
    <w:rsid w:val="007D2D71"/>
    <w:rsid w:val="007D2ECB"/>
    <w:rsid w:val="007D316F"/>
    <w:rsid w:val="007D3689"/>
    <w:rsid w:val="007D3D86"/>
    <w:rsid w:val="007D3E7B"/>
    <w:rsid w:val="007D438B"/>
    <w:rsid w:val="007D4436"/>
    <w:rsid w:val="007D4F9A"/>
    <w:rsid w:val="007D509B"/>
    <w:rsid w:val="007D50E5"/>
    <w:rsid w:val="007D5182"/>
    <w:rsid w:val="007D518A"/>
    <w:rsid w:val="007D518B"/>
    <w:rsid w:val="007D5540"/>
    <w:rsid w:val="007D5A4A"/>
    <w:rsid w:val="007D5BA5"/>
    <w:rsid w:val="007D6235"/>
    <w:rsid w:val="007D63A3"/>
    <w:rsid w:val="007D642D"/>
    <w:rsid w:val="007D6720"/>
    <w:rsid w:val="007D680A"/>
    <w:rsid w:val="007D6944"/>
    <w:rsid w:val="007D6B1F"/>
    <w:rsid w:val="007D7145"/>
    <w:rsid w:val="007D7367"/>
    <w:rsid w:val="007D7A57"/>
    <w:rsid w:val="007D7F89"/>
    <w:rsid w:val="007E026F"/>
    <w:rsid w:val="007E0753"/>
    <w:rsid w:val="007E0AB0"/>
    <w:rsid w:val="007E0D1F"/>
    <w:rsid w:val="007E0E66"/>
    <w:rsid w:val="007E1678"/>
    <w:rsid w:val="007E16C3"/>
    <w:rsid w:val="007E17E4"/>
    <w:rsid w:val="007E1A67"/>
    <w:rsid w:val="007E1F6A"/>
    <w:rsid w:val="007E1FE0"/>
    <w:rsid w:val="007E211E"/>
    <w:rsid w:val="007E2EEC"/>
    <w:rsid w:val="007E304A"/>
    <w:rsid w:val="007E3079"/>
    <w:rsid w:val="007E3171"/>
    <w:rsid w:val="007E37E7"/>
    <w:rsid w:val="007E3A44"/>
    <w:rsid w:val="007E3D2D"/>
    <w:rsid w:val="007E44BF"/>
    <w:rsid w:val="007E49C3"/>
    <w:rsid w:val="007E4ADE"/>
    <w:rsid w:val="007E4BDC"/>
    <w:rsid w:val="007E515C"/>
    <w:rsid w:val="007E5491"/>
    <w:rsid w:val="007E55A4"/>
    <w:rsid w:val="007E5C0A"/>
    <w:rsid w:val="007E5D3F"/>
    <w:rsid w:val="007E60FC"/>
    <w:rsid w:val="007E6757"/>
    <w:rsid w:val="007E6A2E"/>
    <w:rsid w:val="007E6E14"/>
    <w:rsid w:val="007E7410"/>
    <w:rsid w:val="007E7493"/>
    <w:rsid w:val="007E7715"/>
    <w:rsid w:val="007E799B"/>
    <w:rsid w:val="007E7A9E"/>
    <w:rsid w:val="007E7DC8"/>
    <w:rsid w:val="007F0253"/>
    <w:rsid w:val="007F04D4"/>
    <w:rsid w:val="007F0A58"/>
    <w:rsid w:val="007F148D"/>
    <w:rsid w:val="007F153D"/>
    <w:rsid w:val="007F157B"/>
    <w:rsid w:val="007F1A6C"/>
    <w:rsid w:val="007F2132"/>
    <w:rsid w:val="007F26D3"/>
    <w:rsid w:val="007F29B1"/>
    <w:rsid w:val="007F2DFE"/>
    <w:rsid w:val="007F3219"/>
    <w:rsid w:val="007F34A4"/>
    <w:rsid w:val="007F34C7"/>
    <w:rsid w:val="007F386E"/>
    <w:rsid w:val="007F3879"/>
    <w:rsid w:val="007F3CD4"/>
    <w:rsid w:val="007F40CA"/>
    <w:rsid w:val="007F425A"/>
    <w:rsid w:val="007F4296"/>
    <w:rsid w:val="007F42C0"/>
    <w:rsid w:val="007F458D"/>
    <w:rsid w:val="007F46E0"/>
    <w:rsid w:val="007F4E4F"/>
    <w:rsid w:val="007F4F1E"/>
    <w:rsid w:val="007F5300"/>
    <w:rsid w:val="007F5553"/>
    <w:rsid w:val="007F5744"/>
    <w:rsid w:val="007F5B29"/>
    <w:rsid w:val="007F6326"/>
    <w:rsid w:val="007F675B"/>
    <w:rsid w:val="007F686C"/>
    <w:rsid w:val="007F6E66"/>
    <w:rsid w:val="007F7120"/>
    <w:rsid w:val="007F71CE"/>
    <w:rsid w:val="007F72C1"/>
    <w:rsid w:val="007F74BF"/>
    <w:rsid w:val="007F74E8"/>
    <w:rsid w:val="007F7560"/>
    <w:rsid w:val="007F7573"/>
    <w:rsid w:val="007F7829"/>
    <w:rsid w:val="007F7CB2"/>
    <w:rsid w:val="0080042E"/>
    <w:rsid w:val="00800605"/>
    <w:rsid w:val="00800823"/>
    <w:rsid w:val="00800871"/>
    <w:rsid w:val="00800A72"/>
    <w:rsid w:val="00800EFE"/>
    <w:rsid w:val="0080112F"/>
    <w:rsid w:val="008014A4"/>
    <w:rsid w:val="00801717"/>
    <w:rsid w:val="0080182B"/>
    <w:rsid w:val="00801A13"/>
    <w:rsid w:val="00801CF6"/>
    <w:rsid w:val="00801D8C"/>
    <w:rsid w:val="00801E1B"/>
    <w:rsid w:val="00801E3B"/>
    <w:rsid w:val="00801ECF"/>
    <w:rsid w:val="0080276B"/>
    <w:rsid w:val="00802AFD"/>
    <w:rsid w:val="0080324D"/>
    <w:rsid w:val="0080333E"/>
    <w:rsid w:val="008033EE"/>
    <w:rsid w:val="008035DE"/>
    <w:rsid w:val="00803784"/>
    <w:rsid w:val="008039F7"/>
    <w:rsid w:val="00803CE5"/>
    <w:rsid w:val="00803D7D"/>
    <w:rsid w:val="00803E53"/>
    <w:rsid w:val="00804431"/>
    <w:rsid w:val="008048C2"/>
    <w:rsid w:val="00804CAA"/>
    <w:rsid w:val="00804E83"/>
    <w:rsid w:val="00804ECD"/>
    <w:rsid w:val="00804FEB"/>
    <w:rsid w:val="00805741"/>
    <w:rsid w:val="00805A78"/>
    <w:rsid w:val="00805DD5"/>
    <w:rsid w:val="00806537"/>
    <w:rsid w:val="0080655F"/>
    <w:rsid w:val="00806CBA"/>
    <w:rsid w:val="0080721A"/>
    <w:rsid w:val="00807A5A"/>
    <w:rsid w:val="00807C0F"/>
    <w:rsid w:val="00807D83"/>
    <w:rsid w:val="0081021A"/>
    <w:rsid w:val="008102E9"/>
    <w:rsid w:val="008106BC"/>
    <w:rsid w:val="0081071D"/>
    <w:rsid w:val="00810B5B"/>
    <w:rsid w:val="00810CC3"/>
    <w:rsid w:val="00810E7D"/>
    <w:rsid w:val="00810FE3"/>
    <w:rsid w:val="0081111E"/>
    <w:rsid w:val="00811202"/>
    <w:rsid w:val="00811621"/>
    <w:rsid w:val="00811A32"/>
    <w:rsid w:val="0081254F"/>
    <w:rsid w:val="008126E3"/>
    <w:rsid w:val="00812803"/>
    <w:rsid w:val="00813175"/>
    <w:rsid w:val="00813298"/>
    <w:rsid w:val="008132A6"/>
    <w:rsid w:val="00813A1D"/>
    <w:rsid w:val="00813F60"/>
    <w:rsid w:val="00814156"/>
    <w:rsid w:val="00814370"/>
    <w:rsid w:val="0081439D"/>
    <w:rsid w:val="00814579"/>
    <w:rsid w:val="008145A5"/>
    <w:rsid w:val="00814702"/>
    <w:rsid w:val="00814D20"/>
    <w:rsid w:val="00814D26"/>
    <w:rsid w:val="00814D97"/>
    <w:rsid w:val="00814E92"/>
    <w:rsid w:val="00814F85"/>
    <w:rsid w:val="0081519F"/>
    <w:rsid w:val="008155D4"/>
    <w:rsid w:val="00815948"/>
    <w:rsid w:val="00815A15"/>
    <w:rsid w:val="00815B38"/>
    <w:rsid w:val="00815B90"/>
    <w:rsid w:val="00815C0D"/>
    <w:rsid w:val="00815CA1"/>
    <w:rsid w:val="00816184"/>
    <w:rsid w:val="008161FA"/>
    <w:rsid w:val="008162A8"/>
    <w:rsid w:val="00816555"/>
    <w:rsid w:val="00816769"/>
    <w:rsid w:val="00816A08"/>
    <w:rsid w:val="00816B06"/>
    <w:rsid w:val="00816B8C"/>
    <w:rsid w:val="00816F1F"/>
    <w:rsid w:val="00816F49"/>
    <w:rsid w:val="008170A7"/>
    <w:rsid w:val="00817458"/>
    <w:rsid w:val="008175EE"/>
    <w:rsid w:val="008176AA"/>
    <w:rsid w:val="008179E9"/>
    <w:rsid w:val="00817D2D"/>
    <w:rsid w:val="00817E77"/>
    <w:rsid w:val="00817EE9"/>
    <w:rsid w:val="008205D5"/>
    <w:rsid w:val="00820AFE"/>
    <w:rsid w:val="00820F2A"/>
    <w:rsid w:val="0082139A"/>
    <w:rsid w:val="008219E4"/>
    <w:rsid w:val="0082216B"/>
    <w:rsid w:val="008222E8"/>
    <w:rsid w:val="0082261E"/>
    <w:rsid w:val="00822C2C"/>
    <w:rsid w:val="00822DB4"/>
    <w:rsid w:val="00822E74"/>
    <w:rsid w:val="00822F9E"/>
    <w:rsid w:val="00822FC8"/>
    <w:rsid w:val="0082322B"/>
    <w:rsid w:val="00823E58"/>
    <w:rsid w:val="00824047"/>
    <w:rsid w:val="00824426"/>
    <w:rsid w:val="00824475"/>
    <w:rsid w:val="0082467C"/>
    <w:rsid w:val="00824D5C"/>
    <w:rsid w:val="00824EDD"/>
    <w:rsid w:val="00824F3B"/>
    <w:rsid w:val="008252EE"/>
    <w:rsid w:val="00825491"/>
    <w:rsid w:val="0082588D"/>
    <w:rsid w:val="0082592B"/>
    <w:rsid w:val="00825B65"/>
    <w:rsid w:val="00825DC5"/>
    <w:rsid w:val="00825EEF"/>
    <w:rsid w:val="00826630"/>
    <w:rsid w:val="008266A1"/>
    <w:rsid w:val="00826B88"/>
    <w:rsid w:val="00826DCA"/>
    <w:rsid w:val="00826DD2"/>
    <w:rsid w:val="00826F29"/>
    <w:rsid w:val="00827C9A"/>
    <w:rsid w:val="00827E6D"/>
    <w:rsid w:val="00827EE7"/>
    <w:rsid w:val="00827F32"/>
    <w:rsid w:val="0083022F"/>
    <w:rsid w:val="00830304"/>
    <w:rsid w:val="008305F9"/>
    <w:rsid w:val="008308E9"/>
    <w:rsid w:val="00831176"/>
    <w:rsid w:val="008311B9"/>
    <w:rsid w:val="008311C8"/>
    <w:rsid w:val="00831292"/>
    <w:rsid w:val="008314C7"/>
    <w:rsid w:val="008317B6"/>
    <w:rsid w:val="00831995"/>
    <w:rsid w:val="00831A4E"/>
    <w:rsid w:val="00831B4C"/>
    <w:rsid w:val="00831E74"/>
    <w:rsid w:val="00831F31"/>
    <w:rsid w:val="00831F87"/>
    <w:rsid w:val="008322DD"/>
    <w:rsid w:val="008323A1"/>
    <w:rsid w:val="008324E7"/>
    <w:rsid w:val="00832539"/>
    <w:rsid w:val="00832EA3"/>
    <w:rsid w:val="0083322B"/>
    <w:rsid w:val="0083335F"/>
    <w:rsid w:val="008338B9"/>
    <w:rsid w:val="00833A0E"/>
    <w:rsid w:val="00833B5F"/>
    <w:rsid w:val="00833C5E"/>
    <w:rsid w:val="00833CFD"/>
    <w:rsid w:val="00833E50"/>
    <w:rsid w:val="00833F6E"/>
    <w:rsid w:val="008344D4"/>
    <w:rsid w:val="00834549"/>
    <w:rsid w:val="00834726"/>
    <w:rsid w:val="008348AD"/>
    <w:rsid w:val="00834B6E"/>
    <w:rsid w:val="00834FF6"/>
    <w:rsid w:val="00835081"/>
    <w:rsid w:val="00835ABE"/>
    <w:rsid w:val="00835BB7"/>
    <w:rsid w:val="00835E51"/>
    <w:rsid w:val="00835F58"/>
    <w:rsid w:val="00835FCA"/>
    <w:rsid w:val="0083608E"/>
    <w:rsid w:val="00836520"/>
    <w:rsid w:val="008365FF"/>
    <w:rsid w:val="008366C8"/>
    <w:rsid w:val="00836A86"/>
    <w:rsid w:val="00836DFD"/>
    <w:rsid w:val="008373B4"/>
    <w:rsid w:val="008376AC"/>
    <w:rsid w:val="00837F01"/>
    <w:rsid w:val="008405C6"/>
    <w:rsid w:val="008408CB"/>
    <w:rsid w:val="008409F2"/>
    <w:rsid w:val="00840C8C"/>
    <w:rsid w:val="008414D6"/>
    <w:rsid w:val="00841AB1"/>
    <w:rsid w:val="00841D93"/>
    <w:rsid w:val="00841DF6"/>
    <w:rsid w:val="0084209E"/>
    <w:rsid w:val="00842681"/>
    <w:rsid w:val="008426CE"/>
    <w:rsid w:val="00842874"/>
    <w:rsid w:val="008429EB"/>
    <w:rsid w:val="00842B70"/>
    <w:rsid w:val="00842F13"/>
    <w:rsid w:val="00843737"/>
    <w:rsid w:val="0084390B"/>
    <w:rsid w:val="00844285"/>
    <w:rsid w:val="00844724"/>
    <w:rsid w:val="008448DC"/>
    <w:rsid w:val="0084490B"/>
    <w:rsid w:val="00844BA5"/>
    <w:rsid w:val="00844E00"/>
    <w:rsid w:val="00845D7D"/>
    <w:rsid w:val="00845E7E"/>
    <w:rsid w:val="00845E9B"/>
    <w:rsid w:val="00846A89"/>
    <w:rsid w:val="00846BC4"/>
    <w:rsid w:val="00846EC0"/>
    <w:rsid w:val="008473C3"/>
    <w:rsid w:val="0084758E"/>
    <w:rsid w:val="00847A77"/>
    <w:rsid w:val="00847BD0"/>
    <w:rsid w:val="00850319"/>
    <w:rsid w:val="0085065A"/>
    <w:rsid w:val="00850ABB"/>
    <w:rsid w:val="00851035"/>
    <w:rsid w:val="0085107D"/>
    <w:rsid w:val="0085123C"/>
    <w:rsid w:val="0085149E"/>
    <w:rsid w:val="00851589"/>
    <w:rsid w:val="008515ED"/>
    <w:rsid w:val="0085160B"/>
    <w:rsid w:val="008517CB"/>
    <w:rsid w:val="00851C31"/>
    <w:rsid w:val="00851CB1"/>
    <w:rsid w:val="00851CE0"/>
    <w:rsid w:val="008521EF"/>
    <w:rsid w:val="00852AFD"/>
    <w:rsid w:val="00852DC6"/>
    <w:rsid w:val="008530AB"/>
    <w:rsid w:val="00853471"/>
    <w:rsid w:val="008535DC"/>
    <w:rsid w:val="008537EA"/>
    <w:rsid w:val="00854433"/>
    <w:rsid w:val="008545A0"/>
    <w:rsid w:val="0085482E"/>
    <w:rsid w:val="00854BB1"/>
    <w:rsid w:val="00854D65"/>
    <w:rsid w:val="00855622"/>
    <w:rsid w:val="00855B88"/>
    <w:rsid w:val="00856308"/>
    <w:rsid w:val="00856356"/>
    <w:rsid w:val="008563C5"/>
    <w:rsid w:val="00856741"/>
    <w:rsid w:val="0085683A"/>
    <w:rsid w:val="008568C2"/>
    <w:rsid w:val="008568D6"/>
    <w:rsid w:val="008569F2"/>
    <w:rsid w:val="00857165"/>
    <w:rsid w:val="0085740C"/>
    <w:rsid w:val="00857446"/>
    <w:rsid w:val="00857D19"/>
    <w:rsid w:val="00857F16"/>
    <w:rsid w:val="00860272"/>
    <w:rsid w:val="008608A3"/>
    <w:rsid w:val="008608AA"/>
    <w:rsid w:val="00860A1D"/>
    <w:rsid w:val="008613D7"/>
    <w:rsid w:val="00861467"/>
    <w:rsid w:val="00861560"/>
    <w:rsid w:val="00861568"/>
    <w:rsid w:val="00861C7D"/>
    <w:rsid w:val="00861DB4"/>
    <w:rsid w:val="00861FA6"/>
    <w:rsid w:val="0086211B"/>
    <w:rsid w:val="008623DC"/>
    <w:rsid w:val="008624B5"/>
    <w:rsid w:val="008625AC"/>
    <w:rsid w:val="00862744"/>
    <w:rsid w:val="00862B73"/>
    <w:rsid w:val="008633F2"/>
    <w:rsid w:val="008637CE"/>
    <w:rsid w:val="008638BB"/>
    <w:rsid w:val="00863CD7"/>
    <w:rsid w:val="00863FA9"/>
    <w:rsid w:val="008642A5"/>
    <w:rsid w:val="008645F6"/>
    <w:rsid w:val="008646CD"/>
    <w:rsid w:val="00864B8E"/>
    <w:rsid w:val="00864C57"/>
    <w:rsid w:val="00864EEE"/>
    <w:rsid w:val="00864FFF"/>
    <w:rsid w:val="008650DD"/>
    <w:rsid w:val="00865694"/>
    <w:rsid w:val="00865B6B"/>
    <w:rsid w:val="00865C56"/>
    <w:rsid w:val="00865F21"/>
    <w:rsid w:val="00865F75"/>
    <w:rsid w:val="00866009"/>
    <w:rsid w:val="0086602F"/>
    <w:rsid w:val="008662D2"/>
    <w:rsid w:val="00866406"/>
    <w:rsid w:val="0086681E"/>
    <w:rsid w:val="0086686D"/>
    <w:rsid w:val="008668AB"/>
    <w:rsid w:val="00866BF3"/>
    <w:rsid w:val="0086761C"/>
    <w:rsid w:val="0086797A"/>
    <w:rsid w:val="00867A48"/>
    <w:rsid w:val="00867F82"/>
    <w:rsid w:val="008701AD"/>
    <w:rsid w:val="00870277"/>
    <w:rsid w:val="00870566"/>
    <w:rsid w:val="00870A35"/>
    <w:rsid w:val="00870C31"/>
    <w:rsid w:val="00870EAA"/>
    <w:rsid w:val="008712E7"/>
    <w:rsid w:val="0087142A"/>
    <w:rsid w:val="0087177D"/>
    <w:rsid w:val="008718F0"/>
    <w:rsid w:val="008719E0"/>
    <w:rsid w:val="00871AB9"/>
    <w:rsid w:val="00871BA7"/>
    <w:rsid w:val="008722DB"/>
    <w:rsid w:val="00872476"/>
    <w:rsid w:val="00872B1E"/>
    <w:rsid w:val="00872DB6"/>
    <w:rsid w:val="00873107"/>
    <w:rsid w:val="00873235"/>
    <w:rsid w:val="008733EF"/>
    <w:rsid w:val="0087350A"/>
    <w:rsid w:val="00873536"/>
    <w:rsid w:val="008736C4"/>
    <w:rsid w:val="00873CDC"/>
    <w:rsid w:val="00873EBD"/>
    <w:rsid w:val="0087454F"/>
    <w:rsid w:val="0087464E"/>
    <w:rsid w:val="008749A9"/>
    <w:rsid w:val="00874A0F"/>
    <w:rsid w:val="00874DC5"/>
    <w:rsid w:val="00874DF8"/>
    <w:rsid w:val="00874F96"/>
    <w:rsid w:val="00875578"/>
    <w:rsid w:val="00875DC0"/>
    <w:rsid w:val="00876092"/>
    <w:rsid w:val="00876274"/>
    <w:rsid w:val="0087640F"/>
    <w:rsid w:val="0087642F"/>
    <w:rsid w:val="00876657"/>
    <w:rsid w:val="008768B0"/>
    <w:rsid w:val="00876AC0"/>
    <w:rsid w:val="00876E58"/>
    <w:rsid w:val="0087754D"/>
    <w:rsid w:val="0087756E"/>
    <w:rsid w:val="00877623"/>
    <w:rsid w:val="00877970"/>
    <w:rsid w:val="00877CDC"/>
    <w:rsid w:val="00880450"/>
    <w:rsid w:val="008806B9"/>
    <w:rsid w:val="00880BDC"/>
    <w:rsid w:val="00880D64"/>
    <w:rsid w:val="00880D90"/>
    <w:rsid w:val="008811CD"/>
    <w:rsid w:val="00881230"/>
    <w:rsid w:val="00881581"/>
    <w:rsid w:val="00881996"/>
    <w:rsid w:val="00881A1B"/>
    <w:rsid w:val="00881B89"/>
    <w:rsid w:val="00881C9C"/>
    <w:rsid w:val="00881D10"/>
    <w:rsid w:val="008820C1"/>
    <w:rsid w:val="00882136"/>
    <w:rsid w:val="00882377"/>
    <w:rsid w:val="00882525"/>
    <w:rsid w:val="00882580"/>
    <w:rsid w:val="008826D8"/>
    <w:rsid w:val="00882A0E"/>
    <w:rsid w:val="00882F1D"/>
    <w:rsid w:val="00882F6E"/>
    <w:rsid w:val="00883060"/>
    <w:rsid w:val="008831AD"/>
    <w:rsid w:val="0088330E"/>
    <w:rsid w:val="008836D5"/>
    <w:rsid w:val="00883A8D"/>
    <w:rsid w:val="00883E0E"/>
    <w:rsid w:val="00883E68"/>
    <w:rsid w:val="00884062"/>
    <w:rsid w:val="00884114"/>
    <w:rsid w:val="0088474F"/>
    <w:rsid w:val="0088480B"/>
    <w:rsid w:val="00884A01"/>
    <w:rsid w:val="00884B17"/>
    <w:rsid w:val="00884B2D"/>
    <w:rsid w:val="00884B4A"/>
    <w:rsid w:val="00885123"/>
    <w:rsid w:val="008857E6"/>
    <w:rsid w:val="00885ADB"/>
    <w:rsid w:val="00885D9E"/>
    <w:rsid w:val="008863D7"/>
    <w:rsid w:val="00886562"/>
    <w:rsid w:val="00886BCF"/>
    <w:rsid w:val="00886D0F"/>
    <w:rsid w:val="00886D6C"/>
    <w:rsid w:val="008871CF"/>
    <w:rsid w:val="00887671"/>
    <w:rsid w:val="008876FC"/>
    <w:rsid w:val="008877B5"/>
    <w:rsid w:val="00887866"/>
    <w:rsid w:val="00887C47"/>
    <w:rsid w:val="00887C4C"/>
    <w:rsid w:val="00887DA4"/>
    <w:rsid w:val="008900E7"/>
    <w:rsid w:val="008901D6"/>
    <w:rsid w:val="0089099F"/>
    <w:rsid w:val="00890CD1"/>
    <w:rsid w:val="00891C9A"/>
    <w:rsid w:val="00891D4B"/>
    <w:rsid w:val="00891EE1"/>
    <w:rsid w:val="00892578"/>
    <w:rsid w:val="008928D5"/>
    <w:rsid w:val="008929A1"/>
    <w:rsid w:val="00892A0B"/>
    <w:rsid w:val="008931DB"/>
    <w:rsid w:val="00893CDE"/>
    <w:rsid w:val="008942A1"/>
    <w:rsid w:val="00894370"/>
    <w:rsid w:val="008948FC"/>
    <w:rsid w:val="008955B1"/>
    <w:rsid w:val="008957DC"/>
    <w:rsid w:val="00895B55"/>
    <w:rsid w:val="00895D99"/>
    <w:rsid w:val="00895DA5"/>
    <w:rsid w:val="00895F3A"/>
    <w:rsid w:val="008961E2"/>
    <w:rsid w:val="008963FF"/>
    <w:rsid w:val="008964E4"/>
    <w:rsid w:val="008966E5"/>
    <w:rsid w:val="00896812"/>
    <w:rsid w:val="00896E6B"/>
    <w:rsid w:val="0089726E"/>
    <w:rsid w:val="0089767D"/>
    <w:rsid w:val="0089774A"/>
    <w:rsid w:val="00897BD7"/>
    <w:rsid w:val="00897BF6"/>
    <w:rsid w:val="00897D15"/>
    <w:rsid w:val="00897F1A"/>
    <w:rsid w:val="00897F28"/>
    <w:rsid w:val="008A024C"/>
    <w:rsid w:val="008A04D6"/>
    <w:rsid w:val="008A05AA"/>
    <w:rsid w:val="008A070A"/>
    <w:rsid w:val="008A0A80"/>
    <w:rsid w:val="008A0CB9"/>
    <w:rsid w:val="008A0DDA"/>
    <w:rsid w:val="008A0F58"/>
    <w:rsid w:val="008A0FF5"/>
    <w:rsid w:val="008A1333"/>
    <w:rsid w:val="008A1BC8"/>
    <w:rsid w:val="008A1CDF"/>
    <w:rsid w:val="008A1E97"/>
    <w:rsid w:val="008A2727"/>
    <w:rsid w:val="008A2902"/>
    <w:rsid w:val="008A2ACD"/>
    <w:rsid w:val="008A2CD8"/>
    <w:rsid w:val="008A2E9F"/>
    <w:rsid w:val="008A2FBB"/>
    <w:rsid w:val="008A3367"/>
    <w:rsid w:val="008A33B0"/>
    <w:rsid w:val="008A36CF"/>
    <w:rsid w:val="008A3BA7"/>
    <w:rsid w:val="008A424B"/>
    <w:rsid w:val="008A47DC"/>
    <w:rsid w:val="008A4853"/>
    <w:rsid w:val="008A48D3"/>
    <w:rsid w:val="008A4DA4"/>
    <w:rsid w:val="008A4F4B"/>
    <w:rsid w:val="008A5020"/>
    <w:rsid w:val="008A505C"/>
    <w:rsid w:val="008A5080"/>
    <w:rsid w:val="008A51C1"/>
    <w:rsid w:val="008A5714"/>
    <w:rsid w:val="008A585A"/>
    <w:rsid w:val="008A5E81"/>
    <w:rsid w:val="008A649D"/>
    <w:rsid w:val="008A64FC"/>
    <w:rsid w:val="008A6BAD"/>
    <w:rsid w:val="008A71B1"/>
    <w:rsid w:val="008A74C3"/>
    <w:rsid w:val="008A7ACD"/>
    <w:rsid w:val="008B0070"/>
    <w:rsid w:val="008B0104"/>
    <w:rsid w:val="008B0547"/>
    <w:rsid w:val="008B08CF"/>
    <w:rsid w:val="008B0AD5"/>
    <w:rsid w:val="008B0BE5"/>
    <w:rsid w:val="008B0FB4"/>
    <w:rsid w:val="008B12F5"/>
    <w:rsid w:val="008B135F"/>
    <w:rsid w:val="008B1B1E"/>
    <w:rsid w:val="008B1B67"/>
    <w:rsid w:val="008B1BE9"/>
    <w:rsid w:val="008B1C30"/>
    <w:rsid w:val="008B21FE"/>
    <w:rsid w:val="008B261A"/>
    <w:rsid w:val="008B28D7"/>
    <w:rsid w:val="008B29B0"/>
    <w:rsid w:val="008B38D9"/>
    <w:rsid w:val="008B3AA6"/>
    <w:rsid w:val="008B3B5D"/>
    <w:rsid w:val="008B3CB8"/>
    <w:rsid w:val="008B43FF"/>
    <w:rsid w:val="008B4455"/>
    <w:rsid w:val="008B4C03"/>
    <w:rsid w:val="008B5161"/>
    <w:rsid w:val="008B526D"/>
    <w:rsid w:val="008B5350"/>
    <w:rsid w:val="008B5706"/>
    <w:rsid w:val="008B5D49"/>
    <w:rsid w:val="008B5F51"/>
    <w:rsid w:val="008B64A0"/>
    <w:rsid w:val="008B66A2"/>
    <w:rsid w:val="008B699B"/>
    <w:rsid w:val="008B6EEA"/>
    <w:rsid w:val="008B72BF"/>
    <w:rsid w:val="008B7379"/>
    <w:rsid w:val="008B73F7"/>
    <w:rsid w:val="008B74E3"/>
    <w:rsid w:val="008B7598"/>
    <w:rsid w:val="008B7799"/>
    <w:rsid w:val="008B7980"/>
    <w:rsid w:val="008B7CEB"/>
    <w:rsid w:val="008C0336"/>
    <w:rsid w:val="008C047B"/>
    <w:rsid w:val="008C0BE8"/>
    <w:rsid w:val="008C116F"/>
    <w:rsid w:val="008C185D"/>
    <w:rsid w:val="008C187B"/>
    <w:rsid w:val="008C1906"/>
    <w:rsid w:val="008C2007"/>
    <w:rsid w:val="008C20CF"/>
    <w:rsid w:val="008C22C9"/>
    <w:rsid w:val="008C24F4"/>
    <w:rsid w:val="008C2916"/>
    <w:rsid w:val="008C2DE1"/>
    <w:rsid w:val="008C2FAC"/>
    <w:rsid w:val="008C361C"/>
    <w:rsid w:val="008C397A"/>
    <w:rsid w:val="008C3F7E"/>
    <w:rsid w:val="008C449D"/>
    <w:rsid w:val="008C4580"/>
    <w:rsid w:val="008C4C1A"/>
    <w:rsid w:val="008C50BC"/>
    <w:rsid w:val="008C5118"/>
    <w:rsid w:val="008C514C"/>
    <w:rsid w:val="008C55F2"/>
    <w:rsid w:val="008C5B5B"/>
    <w:rsid w:val="008C5B5D"/>
    <w:rsid w:val="008C5B79"/>
    <w:rsid w:val="008C5EEE"/>
    <w:rsid w:val="008C613A"/>
    <w:rsid w:val="008C6478"/>
    <w:rsid w:val="008C69B8"/>
    <w:rsid w:val="008C6DF7"/>
    <w:rsid w:val="008C6F75"/>
    <w:rsid w:val="008C707E"/>
    <w:rsid w:val="008C7096"/>
    <w:rsid w:val="008C731B"/>
    <w:rsid w:val="008C743A"/>
    <w:rsid w:val="008C7481"/>
    <w:rsid w:val="008C7529"/>
    <w:rsid w:val="008C7652"/>
    <w:rsid w:val="008C7716"/>
    <w:rsid w:val="008C7951"/>
    <w:rsid w:val="008C7B1A"/>
    <w:rsid w:val="008C7BC1"/>
    <w:rsid w:val="008C7F18"/>
    <w:rsid w:val="008D0051"/>
    <w:rsid w:val="008D0284"/>
    <w:rsid w:val="008D060C"/>
    <w:rsid w:val="008D0655"/>
    <w:rsid w:val="008D0C76"/>
    <w:rsid w:val="008D1258"/>
    <w:rsid w:val="008D1343"/>
    <w:rsid w:val="008D1764"/>
    <w:rsid w:val="008D195A"/>
    <w:rsid w:val="008D1A26"/>
    <w:rsid w:val="008D1C72"/>
    <w:rsid w:val="008D2C88"/>
    <w:rsid w:val="008D300D"/>
    <w:rsid w:val="008D3211"/>
    <w:rsid w:val="008D3283"/>
    <w:rsid w:val="008D35EF"/>
    <w:rsid w:val="008D38BF"/>
    <w:rsid w:val="008D39AF"/>
    <w:rsid w:val="008D4302"/>
    <w:rsid w:val="008D490C"/>
    <w:rsid w:val="008D4CE0"/>
    <w:rsid w:val="008D5101"/>
    <w:rsid w:val="008D5442"/>
    <w:rsid w:val="008D54EE"/>
    <w:rsid w:val="008D5A70"/>
    <w:rsid w:val="008D5C8B"/>
    <w:rsid w:val="008D5D22"/>
    <w:rsid w:val="008D5DB5"/>
    <w:rsid w:val="008D5FA1"/>
    <w:rsid w:val="008D60E5"/>
    <w:rsid w:val="008D610A"/>
    <w:rsid w:val="008D6217"/>
    <w:rsid w:val="008D6A0B"/>
    <w:rsid w:val="008D6C90"/>
    <w:rsid w:val="008D6DD1"/>
    <w:rsid w:val="008D6E29"/>
    <w:rsid w:val="008D7362"/>
    <w:rsid w:val="008D77BE"/>
    <w:rsid w:val="008D79C5"/>
    <w:rsid w:val="008D7C2F"/>
    <w:rsid w:val="008D7E63"/>
    <w:rsid w:val="008E017E"/>
    <w:rsid w:val="008E07FF"/>
    <w:rsid w:val="008E0B7B"/>
    <w:rsid w:val="008E0BE0"/>
    <w:rsid w:val="008E1133"/>
    <w:rsid w:val="008E1225"/>
    <w:rsid w:val="008E155D"/>
    <w:rsid w:val="008E1F92"/>
    <w:rsid w:val="008E24B2"/>
    <w:rsid w:val="008E268E"/>
    <w:rsid w:val="008E285B"/>
    <w:rsid w:val="008E29CC"/>
    <w:rsid w:val="008E2F08"/>
    <w:rsid w:val="008E2FBE"/>
    <w:rsid w:val="008E3085"/>
    <w:rsid w:val="008E32C5"/>
    <w:rsid w:val="008E344B"/>
    <w:rsid w:val="008E347F"/>
    <w:rsid w:val="008E34B5"/>
    <w:rsid w:val="008E350B"/>
    <w:rsid w:val="008E3FAA"/>
    <w:rsid w:val="008E42A5"/>
    <w:rsid w:val="008E43AC"/>
    <w:rsid w:val="008E458E"/>
    <w:rsid w:val="008E45EB"/>
    <w:rsid w:val="008E489F"/>
    <w:rsid w:val="008E491B"/>
    <w:rsid w:val="008E4D4F"/>
    <w:rsid w:val="008E4D6A"/>
    <w:rsid w:val="008E52B9"/>
    <w:rsid w:val="008E5574"/>
    <w:rsid w:val="008E586D"/>
    <w:rsid w:val="008E58D6"/>
    <w:rsid w:val="008E5BDE"/>
    <w:rsid w:val="008E5DCC"/>
    <w:rsid w:val="008E60BA"/>
    <w:rsid w:val="008E6273"/>
    <w:rsid w:val="008E664D"/>
    <w:rsid w:val="008E6896"/>
    <w:rsid w:val="008E6920"/>
    <w:rsid w:val="008E6C4B"/>
    <w:rsid w:val="008E7298"/>
    <w:rsid w:val="008E7681"/>
    <w:rsid w:val="008E76A6"/>
    <w:rsid w:val="008E78A6"/>
    <w:rsid w:val="008E7C9E"/>
    <w:rsid w:val="008E7F47"/>
    <w:rsid w:val="008F0365"/>
    <w:rsid w:val="008F0630"/>
    <w:rsid w:val="008F0C5F"/>
    <w:rsid w:val="008F0F21"/>
    <w:rsid w:val="008F101A"/>
    <w:rsid w:val="008F109A"/>
    <w:rsid w:val="008F1370"/>
    <w:rsid w:val="008F14CF"/>
    <w:rsid w:val="008F1858"/>
    <w:rsid w:val="008F1A3E"/>
    <w:rsid w:val="008F1BCD"/>
    <w:rsid w:val="008F1C15"/>
    <w:rsid w:val="008F2174"/>
    <w:rsid w:val="008F2343"/>
    <w:rsid w:val="008F2769"/>
    <w:rsid w:val="008F28E8"/>
    <w:rsid w:val="008F2B72"/>
    <w:rsid w:val="008F2BC0"/>
    <w:rsid w:val="008F3615"/>
    <w:rsid w:val="008F36C9"/>
    <w:rsid w:val="008F37C6"/>
    <w:rsid w:val="008F3CE9"/>
    <w:rsid w:val="008F3EF2"/>
    <w:rsid w:val="008F42CA"/>
    <w:rsid w:val="008F4747"/>
    <w:rsid w:val="008F5379"/>
    <w:rsid w:val="008F5463"/>
    <w:rsid w:val="008F56B1"/>
    <w:rsid w:val="008F57C9"/>
    <w:rsid w:val="008F5865"/>
    <w:rsid w:val="008F5A13"/>
    <w:rsid w:val="008F5BA5"/>
    <w:rsid w:val="008F5FD2"/>
    <w:rsid w:val="008F63D9"/>
    <w:rsid w:val="008F6500"/>
    <w:rsid w:val="008F72E5"/>
    <w:rsid w:val="008F75BA"/>
    <w:rsid w:val="008F79CA"/>
    <w:rsid w:val="008F7C1A"/>
    <w:rsid w:val="008F7CC3"/>
    <w:rsid w:val="00900AA7"/>
    <w:rsid w:val="00900BAD"/>
    <w:rsid w:val="00900D06"/>
    <w:rsid w:val="00900ED7"/>
    <w:rsid w:val="0090113D"/>
    <w:rsid w:val="009017F7"/>
    <w:rsid w:val="00901B46"/>
    <w:rsid w:val="00901E0D"/>
    <w:rsid w:val="00901F04"/>
    <w:rsid w:val="00902720"/>
    <w:rsid w:val="009028C1"/>
    <w:rsid w:val="00902A5E"/>
    <w:rsid w:val="00902D37"/>
    <w:rsid w:val="00903238"/>
    <w:rsid w:val="00903239"/>
    <w:rsid w:val="0090373D"/>
    <w:rsid w:val="00903C9A"/>
    <w:rsid w:val="00903D22"/>
    <w:rsid w:val="00903F01"/>
    <w:rsid w:val="00903FE0"/>
    <w:rsid w:val="009041AE"/>
    <w:rsid w:val="009042E4"/>
    <w:rsid w:val="00904C23"/>
    <w:rsid w:val="00904D9B"/>
    <w:rsid w:val="00904EE1"/>
    <w:rsid w:val="00904FBD"/>
    <w:rsid w:val="00905204"/>
    <w:rsid w:val="009055DF"/>
    <w:rsid w:val="0090577C"/>
    <w:rsid w:val="00905EFA"/>
    <w:rsid w:val="00906A4E"/>
    <w:rsid w:val="00906AFC"/>
    <w:rsid w:val="00906BB6"/>
    <w:rsid w:val="00907470"/>
    <w:rsid w:val="009076BF"/>
    <w:rsid w:val="00907943"/>
    <w:rsid w:val="0091015C"/>
    <w:rsid w:val="00910217"/>
    <w:rsid w:val="00910266"/>
    <w:rsid w:val="00910331"/>
    <w:rsid w:val="00910704"/>
    <w:rsid w:val="009107C6"/>
    <w:rsid w:val="009110F6"/>
    <w:rsid w:val="0091112C"/>
    <w:rsid w:val="009112A7"/>
    <w:rsid w:val="00911817"/>
    <w:rsid w:val="009118FD"/>
    <w:rsid w:val="00911928"/>
    <w:rsid w:val="00911C5A"/>
    <w:rsid w:val="00911FDF"/>
    <w:rsid w:val="0091207C"/>
    <w:rsid w:val="00912795"/>
    <w:rsid w:val="00912B30"/>
    <w:rsid w:val="00912EAD"/>
    <w:rsid w:val="00913512"/>
    <w:rsid w:val="009139A7"/>
    <w:rsid w:val="00913B23"/>
    <w:rsid w:val="00913F56"/>
    <w:rsid w:val="009140E8"/>
    <w:rsid w:val="0091481B"/>
    <w:rsid w:val="0091533B"/>
    <w:rsid w:val="00915361"/>
    <w:rsid w:val="0091553D"/>
    <w:rsid w:val="0091582E"/>
    <w:rsid w:val="00915DFE"/>
    <w:rsid w:val="00916484"/>
    <w:rsid w:val="009164A7"/>
    <w:rsid w:val="009166BB"/>
    <w:rsid w:val="00916936"/>
    <w:rsid w:val="00916B8E"/>
    <w:rsid w:val="00916ECB"/>
    <w:rsid w:val="00916EFC"/>
    <w:rsid w:val="0091731E"/>
    <w:rsid w:val="009173FB"/>
    <w:rsid w:val="00917742"/>
    <w:rsid w:val="00917B9D"/>
    <w:rsid w:val="00920563"/>
    <w:rsid w:val="0092078F"/>
    <w:rsid w:val="00920864"/>
    <w:rsid w:val="00920E13"/>
    <w:rsid w:val="009212E5"/>
    <w:rsid w:val="009215FA"/>
    <w:rsid w:val="00921746"/>
    <w:rsid w:val="00921980"/>
    <w:rsid w:val="00921B74"/>
    <w:rsid w:val="00921B98"/>
    <w:rsid w:val="009222A2"/>
    <w:rsid w:val="009226A2"/>
    <w:rsid w:val="0092290E"/>
    <w:rsid w:val="00922AD2"/>
    <w:rsid w:val="00922BDD"/>
    <w:rsid w:val="00922CF8"/>
    <w:rsid w:val="009230EF"/>
    <w:rsid w:val="009231CD"/>
    <w:rsid w:val="009232F7"/>
    <w:rsid w:val="009237F6"/>
    <w:rsid w:val="00923873"/>
    <w:rsid w:val="00923948"/>
    <w:rsid w:val="009239ED"/>
    <w:rsid w:val="00923B25"/>
    <w:rsid w:val="00923D16"/>
    <w:rsid w:val="00923F65"/>
    <w:rsid w:val="00924297"/>
    <w:rsid w:val="0092445F"/>
    <w:rsid w:val="00924545"/>
    <w:rsid w:val="00924851"/>
    <w:rsid w:val="0092489F"/>
    <w:rsid w:val="00924A5A"/>
    <w:rsid w:val="00924C8D"/>
    <w:rsid w:val="00924E92"/>
    <w:rsid w:val="0092500F"/>
    <w:rsid w:val="00925893"/>
    <w:rsid w:val="00925A2E"/>
    <w:rsid w:val="0092610F"/>
    <w:rsid w:val="00926AE3"/>
    <w:rsid w:val="00926C29"/>
    <w:rsid w:val="009271D0"/>
    <w:rsid w:val="00927339"/>
    <w:rsid w:val="0092756D"/>
    <w:rsid w:val="00927AC1"/>
    <w:rsid w:val="00927BA4"/>
    <w:rsid w:val="00927BE7"/>
    <w:rsid w:val="009300BD"/>
    <w:rsid w:val="009301EA"/>
    <w:rsid w:val="00930395"/>
    <w:rsid w:val="009305E4"/>
    <w:rsid w:val="00930606"/>
    <w:rsid w:val="00930611"/>
    <w:rsid w:val="0093079E"/>
    <w:rsid w:val="009309D0"/>
    <w:rsid w:val="00930C3E"/>
    <w:rsid w:val="00930E73"/>
    <w:rsid w:val="0093192B"/>
    <w:rsid w:val="00931E51"/>
    <w:rsid w:val="00931FDE"/>
    <w:rsid w:val="009322A1"/>
    <w:rsid w:val="0093261D"/>
    <w:rsid w:val="00932A61"/>
    <w:rsid w:val="00932AE8"/>
    <w:rsid w:val="00932AEC"/>
    <w:rsid w:val="0093343B"/>
    <w:rsid w:val="00933549"/>
    <w:rsid w:val="0093363E"/>
    <w:rsid w:val="00933A8D"/>
    <w:rsid w:val="00933C1A"/>
    <w:rsid w:val="00933CE2"/>
    <w:rsid w:val="00933D8A"/>
    <w:rsid w:val="00934846"/>
    <w:rsid w:val="00934A75"/>
    <w:rsid w:val="0093524C"/>
    <w:rsid w:val="0093529F"/>
    <w:rsid w:val="00935554"/>
    <w:rsid w:val="00935586"/>
    <w:rsid w:val="0093588E"/>
    <w:rsid w:val="00936101"/>
    <w:rsid w:val="00936506"/>
    <w:rsid w:val="0093663B"/>
    <w:rsid w:val="009369E6"/>
    <w:rsid w:val="00936A94"/>
    <w:rsid w:val="00936D1C"/>
    <w:rsid w:val="00936EE1"/>
    <w:rsid w:val="00936F3F"/>
    <w:rsid w:val="009376E3"/>
    <w:rsid w:val="00937802"/>
    <w:rsid w:val="00937924"/>
    <w:rsid w:val="00937BDA"/>
    <w:rsid w:val="00937E70"/>
    <w:rsid w:val="00940189"/>
    <w:rsid w:val="009402CE"/>
    <w:rsid w:val="00940957"/>
    <w:rsid w:val="00940E9B"/>
    <w:rsid w:val="009413E1"/>
    <w:rsid w:val="0094142C"/>
    <w:rsid w:val="009417BC"/>
    <w:rsid w:val="009419F8"/>
    <w:rsid w:val="00941D06"/>
    <w:rsid w:val="00941EE7"/>
    <w:rsid w:val="009421AB"/>
    <w:rsid w:val="009421BA"/>
    <w:rsid w:val="0094226E"/>
    <w:rsid w:val="0094255F"/>
    <w:rsid w:val="00942611"/>
    <w:rsid w:val="0094275A"/>
    <w:rsid w:val="009427C3"/>
    <w:rsid w:val="00942811"/>
    <w:rsid w:val="00942992"/>
    <w:rsid w:val="00942C9D"/>
    <w:rsid w:val="00942E06"/>
    <w:rsid w:val="00942F09"/>
    <w:rsid w:val="0094327F"/>
    <w:rsid w:val="009434CA"/>
    <w:rsid w:val="00943521"/>
    <w:rsid w:val="009438F1"/>
    <w:rsid w:val="00943B4E"/>
    <w:rsid w:val="00943BD7"/>
    <w:rsid w:val="00943C8A"/>
    <w:rsid w:val="00944456"/>
    <w:rsid w:val="0094464A"/>
    <w:rsid w:val="009449B2"/>
    <w:rsid w:val="009449F8"/>
    <w:rsid w:val="00944B95"/>
    <w:rsid w:val="00944BF2"/>
    <w:rsid w:val="00944D70"/>
    <w:rsid w:val="00944DD4"/>
    <w:rsid w:val="0094504F"/>
    <w:rsid w:val="009453F1"/>
    <w:rsid w:val="00945BC6"/>
    <w:rsid w:val="0094638F"/>
    <w:rsid w:val="00946418"/>
    <w:rsid w:val="00946A3F"/>
    <w:rsid w:val="00946D5B"/>
    <w:rsid w:val="00947112"/>
    <w:rsid w:val="009473D6"/>
    <w:rsid w:val="009475F2"/>
    <w:rsid w:val="00947771"/>
    <w:rsid w:val="00947886"/>
    <w:rsid w:val="009478BA"/>
    <w:rsid w:val="00947B0D"/>
    <w:rsid w:val="00947B69"/>
    <w:rsid w:val="00947E86"/>
    <w:rsid w:val="00950347"/>
    <w:rsid w:val="00950776"/>
    <w:rsid w:val="00950868"/>
    <w:rsid w:val="009509AA"/>
    <w:rsid w:val="00950A7D"/>
    <w:rsid w:val="00950F91"/>
    <w:rsid w:val="00951123"/>
    <w:rsid w:val="00951370"/>
    <w:rsid w:val="009513B8"/>
    <w:rsid w:val="0095163F"/>
    <w:rsid w:val="0095192D"/>
    <w:rsid w:val="00951BDE"/>
    <w:rsid w:val="00951C1D"/>
    <w:rsid w:val="00951E4A"/>
    <w:rsid w:val="00951ED1"/>
    <w:rsid w:val="00952D72"/>
    <w:rsid w:val="00952DF6"/>
    <w:rsid w:val="00952E09"/>
    <w:rsid w:val="00952FB6"/>
    <w:rsid w:val="00953501"/>
    <w:rsid w:val="00953AAE"/>
    <w:rsid w:val="00953AB2"/>
    <w:rsid w:val="00953C64"/>
    <w:rsid w:val="00953E75"/>
    <w:rsid w:val="00953F4B"/>
    <w:rsid w:val="0095403D"/>
    <w:rsid w:val="009540FB"/>
    <w:rsid w:val="009541C5"/>
    <w:rsid w:val="009544C0"/>
    <w:rsid w:val="0095480C"/>
    <w:rsid w:val="00954AC7"/>
    <w:rsid w:val="00954CC0"/>
    <w:rsid w:val="00954E41"/>
    <w:rsid w:val="00954E9A"/>
    <w:rsid w:val="009559E1"/>
    <w:rsid w:val="00955E91"/>
    <w:rsid w:val="0095604D"/>
    <w:rsid w:val="009560C3"/>
    <w:rsid w:val="0095636A"/>
    <w:rsid w:val="009563DC"/>
    <w:rsid w:val="00956487"/>
    <w:rsid w:val="00956853"/>
    <w:rsid w:val="00956985"/>
    <w:rsid w:val="00956BDF"/>
    <w:rsid w:val="00956CEE"/>
    <w:rsid w:val="0095744A"/>
    <w:rsid w:val="0095768D"/>
    <w:rsid w:val="00957A5A"/>
    <w:rsid w:val="00957D78"/>
    <w:rsid w:val="00957EB2"/>
    <w:rsid w:val="00960076"/>
    <w:rsid w:val="009603EC"/>
    <w:rsid w:val="00960582"/>
    <w:rsid w:val="0096089B"/>
    <w:rsid w:val="00960D6C"/>
    <w:rsid w:val="00960E8B"/>
    <w:rsid w:val="009616F7"/>
    <w:rsid w:val="0096193E"/>
    <w:rsid w:val="00961B1C"/>
    <w:rsid w:val="00961CDA"/>
    <w:rsid w:val="00961E1E"/>
    <w:rsid w:val="00962071"/>
    <w:rsid w:val="009620C2"/>
    <w:rsid w:val="009622DC"/>
    <w:rsid w:val="00962434"/>
    <w:rsid w:val="00962548"/>
    <w:rsid w:val="0096287F"/>
    <w:rsid w:val="009629B2"/>
    <w:rsid w:val="00962F1D"/>
    <w:rsid w:val="00962FFC"/>
    <w:rsid w:val="0096340A"/>
    <w:rsid w:val="009636E3"/>
    <w:rsid w:val="00963859"/>
    <w:rsid w:val="009638CD"/>
    <w:rsid w:val="0096391C"/>
    <w:rsid w:val="00963A90"/>
    <w:rsid w:val="00963ABB"/>
    <w:rsid w:val="00963B23"/>
    <w:rsid w:val="00964070"/>
    <w:rsid w:val="009641AE"/>
    <w:rsid w:val="009646FE"/>
    <w:rsid w:val="009647F0"/>
    <w:rsid w:val="0096481E"/>
    <w:rsid w:val="00964910"/>
    <w:rsid w:val="00965049"/>
    <w:rsid w:val="00965D59"/>
    <w:rsid w:val="00965E6D"/>
    <w:rsid w:val="0096613E"/>
    <w:rsid w:val="009668B1"/>
    <w:rsid w:val="00966A0A"/>
    <w:rsid w:val="00966A2B"/>
    <w:rsid w:val="00966EE7"/>
    <w:rsid w:val="00966F19"/>
    <w:rsid w:val="009671F6"/>
    <w:rsid w:val="00967755"/>
    <w:rsid w:val="00967AF6"/>
    <w:rsid w:val="00967B5B"/>
    <w:rsid w:val="00970231"/>
    <w:rsid w:val="009704B6"/>
    <w:rsid w:val="0097088E"/>
    <w:rsid w:val="00970979"/>
    <w:rsid w:val="009709E8"/>
    <w:rsid w:val="00970A7B"/>
    <w:rsid w:val="00970A89"/>
    <w:rsid w:val="00970B5C"/>
    <w:rsid w:val="00970C40"/>
    <w:rsid w:val="009713FD"/>
    <w:rsid w:val="0097164A"/>
    <w:rsid w:val="009716B6"/>
    <w:rsid w:val="00971779"/>
    <w:rsid w:val="00971B95"/>
    <w:rsid w:val="00972597"/>
    <w:rsid w:val="00972D9B"/>
    <w:rsid w:val="00972FEC"/>
    <w:rsid w:val="00973052"/>
    <w:rsid w:val="0097330D"/>
    <w:rsid w:val="00973EBF"/>
    <w:rsid w:val="009742F2"/>
    <w:rsid w:val="009744DF"/>
    <w:rsid w:val="009744E6"/>
    <w:rsid w:val="009747E7"/>
    <w:rsid w:val="00974D16"/>
    <w:rsid w:val="00974F06"/>
    <w:rsid w:val="00975056"/>
    <w:rsid w:val="009757CA"/>
    <w:rsid w:val="00975C5B"/>
    <w:rsid w:val="00975CCF"/>
    <w:rsid w:val="00975D03"/>
    <w:rsid w:val="00975F01"/>
    <w:rsid w:val="00975F6F"/>
    <w:rsid w:val="00976111"/>
    <w:rsid w:val="0097630D"/>
    <w:rsid w:val="009763AB"/>
    <w:rsid w:val="0097644B"/>
    <w:rsid w:val="00976520"/>
    <w:rsid w:val="0097665A"/>
    <w:rsid w:val="0097691A"/>
    <w:rsid w:val="00976E48"/>
    <w:rsid w:val="00977140"/>
    <w:rsid w:val="0097746B"/>
    <w:rsid w:val="0097787B"/>
    <w:rsid w:val="00980CE9"/>
    <w:rsid w:val="00980CED"/>
    <w:rsid w:val="00981784"/>
    <w:rsid w:val="00981CE8"/>
    <w:rsid w:val="00981DAB"/>
    <w:rsid w:val="00981E51"/>
    <w:rsid w:val="00981E5D"/>
    <w:rsid w:val="009821F9"/>
    <w:rsid w:val="00982251"/>
    <w:rsid w:val="0098257B"/>
    <w:rsid w:val="00982641"/>
    <w:rsid w:val="009828B7"/>
    <w:rsid w:val="00982D27"/>
    <w:rsid w:val="009837FF"/>
    <w:rsid w:val="00983BFC"/>
    <w:rsid w:val="00983CDD"/>
    <w:rsid w:val="00983D4F"/>
    <w:rsid w:val="00983E18"/>
    <w:rsid w:val="009840CE"/>
    <w:rsid w:val="009843FB"/>
    <w:rsid w:val="009849B8"/>
    <w:rsid w:val="00984C73"/>
    <w:rsid w:val="00984E4A"/>
    <w:rsid w:val="009853DC"/>
    <w:rsid w:val="009853E5"/>
    <w:rsid w:val="0098548D"/>
    <w:rsid w:val="0098575A"/>
    <w:rsid w:val="00985D8D"/>
    <w:rsid w:val="00985F9A"/>
    <w:rsid w:val="0098625C"/>
    <w:rsid w:val="009862B3"/>
    <w:rsid w:val="0098653B"/>
    <w:rsid w:val="009866E7"/>
    <w:rsid w:val="00986F40"/>
    <w:rsid w:val="00987089"/>
    <w:rsid w:val="009872DD"/>
    <w:rsid w:val="009874CB"/>
    <w:rsid w:val="00987534"/>
    <w:rsid w:val="00987560"/>
    <w:rsid w:val="009877CB"/>
    <w:rsid w:val="0098795E"/>
    <w:rsid w:val="00987B8C"/>
    <w:rsid w:val="00987C9D"/>
    <w:rsid w:val="00987CFD"/>
    <w:rsid w:val="00990262"/>
    <w:rsid w:val="00990496"/>
    <w:rsid w:val="0099089F"/>
    <w:rsid w:val="00990E76"/>
    <w:rsid w:val="00990EFB"/>
    <w:rsid w:val="009910E0"/>
    <w:rsid w:val="0099133D"/>
    <w:rsid w:val="00991487"/>
    <w:rsid w:val="00991B8D"/>
    <w:rsid w:val="00992056"/>
    <w:rsid w:val="009922A0"/>
    <w:rsid w:val="0099252B"/>
    <w:rsid w:val="009925AB"/>
    <w:rsid w:val="00992A33"/>
    <w:rsid w:val="0099333A"/>
    <w:rsid w:val="00993680"/>
    <w:rsid w:val="00993783"/>
    <w:rsid w:val="0099393B"/>
    <w:rsid w:val="00993D84"/>
    <w:rsid w:val="009940B8"/>
    <w:rsid w:val="009942AF"/>
    <w:rsid w:val="009943BA"/>
    <w:rsid w:val="00994407"/>
    <w:rsid w:val="0099455E"/>
    <w:rsid w:val="00995155"/>
    <w:rsid w:val="00995B2F"/>
    <w:rsid w:val="00995D5F"/>
    <w:rsid w:val="009966CF"/>
    <w:rsid w:val="0099678F"/>
    <w:rsid w:val="00996924"/>
    <w:rsid w:val="00996A6F"/>
    <w:rsid w:val="00996C76"/>
    <w:rsid w:val="00997A44"/>
    <w:rsid w:val="009A003F"/>
    <w:rsid w:val="009A019B"/>
    <w:rsid w:val="009A01DB"/>
    <w:rsid w:val="009A023E"/>
    <w:rsid w:val="009A0569"/>
    <w:rsid w:val="009A06B1"/>
    <w:rsid w:val="009A0EFA"/>
    <w:rsid w:val="009A0FB9"/>
    <w:rsid w:val="009A10C2"/>
    <w:rsid w:val="009A1274"/>
    <w:rsid w:val="009A129D"/>
    <w:rsid w:val="009A16DB"/>
    <w:rsid w:val="009A1784"/>
    <w:rsid w:val="009A1A57"/>
    <w:rsid w:val="009A1CC3"/>
    <w:rsid w:val="009A21A5"/>
    <w:rsid w:val="009A221C"/>
    <w:rsid w:val="009A28D2"/>
    <w:rsid w:val="009A2959"/>
    <w:rsid w:val="009A2996"/>
    <w:rsid w:val="009A29E3"/>
    <w:rsid w:val="009A29E8"/>
    <w:rsid w:val="009A2A32"/>
    <w:rsid w:val="009A2B87"/>
    <w:rsid w:val="009A2F02"/>
    <w:rsid w:val="009A3015"/>
    <w:rsid w:val="009A32AC"/>
    <w:rsid w:val="009A35FD"/>
    <w:rsid w:val="009A362E"/>
    <w:rsid w:val="009A36BB"/>
    <w:rsid w:val="009A3C16"/>
    <w:rsid w:val="009A3FE7"/>
    <w:rsid w:val="009A4170"/>
    <w:rsid w:val="009A474C"/>
    <w:rsid w:val="009A47D0"/>
    <w:rsid w:val="009A4DA1"/>
    <w:rsid w:val="009A5384"/>
    <w:rsid w:val="009A54CA"/>
    <w:rsid w:val="009A59B3"/>
    <w:rsid w:val="009A5B31"/>
    <w:rsid w:val="009A5B81"/>
    <w:rsid w:val="009A5E8C"/>
    <w:rsid w:val="009A6199"/>
    <w:rsid w:val="009A62DF"/>
    <w:rsid w:val="009A6639"/>
    <w:rsid w:val="009A6743"/>
    <w:rsid w:val="009A68BB"/>
    <w:rsid w:val="009A6C57"/>
    <w:rsid w:val="009A6E91"/>
    <w:rsid w:val="009A70F6"/>
    <w:rsid w:val="009A7616"/>
    <w:rsid w:val="009A7F45"/>
    <w:rsid w:val="009B0309"/>
    <w:rsid w:val="009B05FE"/>
    <w:rsid w:val="009B06B0"/>
    <w:rsid w:val="009B0881"/>
    <w:rsid w:val="009B09A8"/>
    <w:rsid w:val="009B0ACB"/>
    <w:rsid w:val="009B0BF9"/>
    <w:rsid w:val="009B112D"/>
    <w:rsid w:val="009B1490"/>
    <w:rsid w:val="009B199C"/>
    <w:rsid w:val="009B227E"/>
    <w:rsid w:val="009B2545"/>
    <w:rsid w:val="009B2554"/>
    <w:rsid w:val="009B2581"/>
    <w:rsid w:val="009B2A32"/>
    <w:rsid w:val="009B2DFC"/>
    <w:rsid w:val="009B2E05"/>
    <w:rsid w:val="009B2F83"/>
    <w:rsid w:val="009B333F"/>
    <w:rsid w:val="009B3585"/>
    <w:rsid w:val="009B3ADB"/>
    <w:rsid w:val="009B3C42"/>
    <w:rsid w:val="009B3D74"/>
    <w:rsid w:val="009B40BB"/>
    <w:rsid w:val="009B4B9D"/>
    <w:rsid w:val="009B4E9F"/>
    <w:rsid w:val="009B4F94"/>
    <w:rsid w:val="009B5174"/>
    <w:rsid w:val="009B519E"/>
    <w:rsid w:val="009B52F1"/>
    <w:rsid w:val="009B537A"/>
    <w:rsid w:val="009B5E96"/>
    <w:rsid w:val="009B61B8"/>
    <w:rsid w:val="009B62D5"/>
    <w:rsid w:val="009B7124"/>
    <w:rsid w:val="009B7522"/>
    <w:rsid w:val="009B7973"/>
    <w:rsid w:val="009B7C8B"/>
    <w:rsid w:val="009B7E86"/>
    <w:rsid w:val="009C0801"/>
    <w:rsid w:val="009C094F"/>
    <w:rsid w:val="009C0B86"/>
    <w:rsid w:val="009C1579"/>
    <w:rsid w:val="009C1C1C"/>
    <w:rsid w:val="009C1D1C"/>
    <w:rsid w:val="009C1D84"/>
    <w:rsid w:val="009C2580"/>
    <w:rsid w:val="009C2681"/>
    <w:rsid w:val="009C2924"/>
    <w:rsid w:val="009C2EF6"/>
    <w:rsid w:val="009C2EF7"/>
    <w:rsid w:val="009C3109"/>
    <w:rsid w:val="009C35C2"/>
    <w:rsid w:val="009C3667"/>
    <w:rsid w:val="009C3D11"/>
    <w:rsid w:val="009C3D7F"/>
    <w:rsid w:val="009C3E27"/>
    <w:rsid w:val="009C4F8B"/>
    <w:rsid w:val="009C51A1"/>
    <w:rsid w:val="009C53F3"/>
    <w:rsid w:val="009C57E8"/>
    <w:rsid w:val="009C6395"/>
    <w:rsid w:val="009C640B"/>
    <w:rsid w:val="009C6558"/>
    <w:rsid w:val="009C66F1"/>
    <w:rsid w:val="009C6AA4"/>
    <w:rsid w:val="009C6C9D"/>
    <w:rsid w:val="009C6DF3"/>
    <w:rsid w:val="009C6F23"/>
    <w:rsid w:val="009C7209"/>
    <w:rsid w:val="009C7330"/>
    <w:rsid w:val="009C7348"/>
    <w:rsid w:val="009C764D"/>
    <w:rsid w:val="009C76E8"/>
    <w:rsid w:val="009C797B"/>
    <w:rsid w:val="009C7BF7"/>
    <w:rsid w:val="009D010D"/>
    <w:rsid w:val="009D02ED"/>
    <w:rsid w:val="009D03B8"/>
    <w:rsid w:val="009D09FE"/>
    <w:rsid w:val="009D0CB6"/>
    <w:rsid w:val="009D0CF8"/>
    <w:rsid w:val="009D0FFE"/>
    <w:rsid w:val="009D155A"/>
    <w:rsid w:val="009D169F"/>
    <w:rsid w:val="009D1831"/>
    <w:rsid w:val="009D1D83"/>
    <w:rsid w:val="009D2116"/>
    <w:rsid w:val="009D21C7"/>
    <w:rsid w:val="009D2BE2"/>
    <w:rsid w:val="009D2F92"/>
    <w:rsid w:val="009D302B"/>
    <w:rsid w:val="009D36E2"/>
    <w:rsid w:val="009D39AF"/>
    <w:rsid w:val="009D39E9"/>
    <w:rsid w:val="009D3B0C"/>
    <w:rsid w:val="009D3DF2"/>
    <w:rsid w:val="009D3F15"/>
    <w:rsid w:val="009D4828"/>
    <w:rsid w:val="009D488E"/>
    <w:rsid w:val="009D4941"/>
    <w:rsid w:val="009D4ACF"/>
    <w:rsid w:val="009D4B3F"/>
    <w:rsid w:val="009D4C20"/>
    <w:rsid w:val="009D4E05"/>
    <w:rsid w:val="009D5099"/>
    <w:rsid w:val="009D5273"/>
    <w:rsid w:val="009D5344"/>
    <w:rsid w:val="009D5785"/>
    <w:rsid w:val="009D58D7"/>
    <w:rsid w:val="009D5B19"/>
    <w:rsid w:val="009D71D5"/>
    <w:rsid w:val="009D7206"/>
    <w:rsid w:val="009D726B"/>
    <w:rsid w:val="009D72E2"/>
    <w:rsid w:val="009D734F"/>
    <w:rsid w:val="009D7D2F"/>
    <w:rsid w:val="009E008B"/>
    <w:rsid w:val="009E0574"/>
    <w:rsid w:val="009E058C"/>
    <w:rsid w:val="009E079A"/>
    <w:rsid w:val="009E086E"/>
    <w:rsid w:val="009E0A62"/>
    <w:rsid w:val="009E0FB4"/>
    <w:rsid w:val="009E1057"/>
    <w:rsid w:val="009E1133"/>
    <w:rsid w:val="009E1192"/>
    <w:rsid w:val="009E1426"/>
    <w:rsid w:val="009E1570"/>
    <w:rsid w:val="009E16A8"/>
    <w:rsid w:val="009E1924"/>
    <w:rsid w:val="009E1A9B"/>
    <w:rsid w:val="009E1AF5"/>
    <w:rsid w:val="009E211F"/>
    <w:rsid w:val="009E2D4E"/>
    <w:rsid w:val="009E2E29"/>
    <w:rsid w:val="009E2FE9"/>
    <w:rsid w:val="009E3126"/>
    <w:rsid w:val="009E3151"/>
    <w:rsid w:val="009E3633"/>
    <w:rsid w:val="009E38F2"/>
    <w:rsid w:val="009E4908"/>
    <w:rsid w:val="009E4F03"/>
    <w:rsid w:val="009E576A"/>
    <w:rsid w:val="009E5C78"/>
    <w:rsid w:val="009E6278"/>
    <w:rsid w:val="009E62BB"/>
    <w:rsid w:val="009E64A5"/>
    <w:rsid w:val="009E670C"/>
    <w:rsid w:val="009E6B4D"/>
    <w:rsid w:val="009E6F3E"/>
    <w:rsid w:val="009E710E"/>
    <w:rsid w:val="009E7828"/>
    <w:rsid w:val="009E783D"/>
    <w:rsid w:val="009E7AE4"/>
    <w:rsid w:val="009E7B74"/>
    <w:rsid w:val="009E7DD4"/>
    <w:rsid w:val="009E7EB2"/>
    <w:rsid w:val="009F006D"/>
    <w:rsid w:val="009F0124"/>
    <w:rsid w:val="009F0405"/>
    <w:rsid w:val="009F049F"/>
    <w:rsid w:val="009F051B"/>
    <w:rsid w:val="009F0536"/>
    <w:rsid w:val="009F060E"/>
    <w:rsid w:val="009F0647"/>
    <w:rsid w:val="009F088C"/>
    <w:rsid w:val="009F0ACA"/>
    <w:rsid w:val="009F0BDE"/>
    <w:rsid w:val="009F0E8C"/>
    <w:rsid w:val="009F12D6"/>
    <w:rsid w:val="009F1427"/>
    <w:rsid w:val="009F155B"/>
    <w:rsid w:val="009F1687"/>
    <w:rsid w:val="009F18D4"/>
    <w:rsid w:val="009F1903"/>
    <w:rsid w:val="009F1A1A"/>
    <w:rsid w:val="009F1A7F"/>
    <w:rsid w:val="009F1A9A"/>
    <w:rsid w:val="009F1B08"/>
    <w:rsid w:val="009F1B0F"/>
    <w:rsid w:val="009F1C99"/>
    <w:rsid w:val="009F26D0"/>
    <w:rsid w:val="009F2EFA"/>
    <w:rsid w:val="009F3483"/>
    <w:rsid w:val="009F41C4"/>
    <w:rsid w:val="009F42F3"/>
    <w:rsid w:val="009F4669"/>
    <w:rsid w:val="009F4C1D"/>
    <w:rsid w:val="009F4E2D"/>
    <w:rsid w:val="009F535C"/>
    <w:rsid w:val="009F55B8"/>
    <w:rsid w:val="009F589B"/>
    <w:rsid w:val="009F58A5"/>
    <w:rsid w:val="009F58E3"/>
    <w:rsid w:val="009F5C91"/>
    <w:rsid w:val="009F5CCD"/>
    <w:rsid w:val="009F5ED0"/>
    <w:rsid w:val="009F5FAD"/>
    <w:rsid w:val="009F613A"/>
    <w:rsid w:val="009F627B"/>
    <w:rsid w:val="009F62F7"/>
    <w:rsid w:val="009F6628"/>
    <w:rsid w:val="009F66BB"/>
    <w:rsid w:val="009F6793"/>
    <w:rsid w:val="009F6C04"/>
    <w:rsid w:val="009F6CD0"/>
    <w:rsid w:val="009F6EBF"/>
    <w:rsid w:val="009F6FE4"/>
    <w:rsid w:val="009F7425"/>
    <w:rsid w:val="009F7549"/>
    <w:rsid w:val="009F781A"/>
    <w:rsid w:val="009F7942"/>
    <w:rsid w:val="009F7C3B"/>
    <w:rsid w:val="009F7C41"/>
    <w:rsid w:val="009F7DBF"/>
    <w:rsid w:val="009F7DD7"/>
    <w:rsid w:val="009F7DE0"/>
    <w:rsid w:val="00A00007"/>
    <w:rsid w:val="00A00417"/>
    <w:rsid w:val="00A007FA"/>
    <w:rsid w:val="00A00A26"/>
    <w:rsid w:val="00A00FB0"/>
    <w:rsid w:val="00A01024"/>
    <w:rsid w:val="00A01133"/>
    <w:rsid w:val="00A0145B"/>
    <w:rsid w:val="00A018FC"/>
    <w:rsid w:val="00A01B1C"/>
    <w:rsid w:val="00A01F05"/>
    <w:rsid w:val="00A01FB3"/>
    <w:rsid w:val="00A0277C"/>
    <w:rsid w:val="00A028D0"/>
    <w:rsid w:val="00A02BBB"/>
    <w:rsid w:val="00A02BCB"/>
    <w:rsid w:val="00A02C00"/>
    <w:rsid w:val="00A02CF4"/>
    <w:rsid w:val="00A02DD6"/>
    <w:rsid w:val="00A034A8"/>
    <w:rsid w:val="00A038C4"/>
    <w:rsid w:val="00A03B4E"/>
    <w:rsid w:val="00A04746"/>
    <w:rsid w:val="00A04973"/>
    <w:rsid w:val="00A04C9F"/>
    <w:rsid w:val="00A05C81"/>
    <w:rsid w:val="00A06547"/>
    <w:rsid w:val="00A066F7"/>
    <w:rsid w:val="00A06815"/>
    <w:rsid w:val="00A06E20"/>
    <w:rsid w:val="00A07419"/>
    <w:rsid w:val="00A07426"/>
    <w:rsid w:val="00A07811"/>
    <w:rsid w:val="00A07A33"/>
    <w:rsid w:val="00A07C36"/>
    <w:rsid w:val="00A07C6A"/>
    <w:rsid w:val="00A106E4"/>
    <w:rsid w:val="00A107FA"/>
    <w:rsid w:val="00A108D9"/>
    <w:rsid w:val="00A10974"/>
    <w:rsid w:val="00A10DC5"/>
    <w:rsid w:val="00A10F52"/>
    <w:rsid w:val="00A119C5"/>
    <w:rsid w:val="00A119EC"/>
    <w:rsid w:val="00A11AAC"/>
    <w:rsid w:val="00A11AB5"/>
    <w:rsid w:val="00A11BD9"/>
    <w:rsid w:val="00A11EE6"/>
    <w:rsid w:val="00A11FFA"/>
    <w:rsid w:val="00A12009"/>
    <w:rsid w:val="00A1201F"/>
    <w:rsid w:val="00A12099"/>
    <w:rsid w:val="00A12197"/>
    <w:rsid w:val="00A1229A"/>
    <w:rsid w:val="00A12406"/>
    <w:rsid w:val="00A125BB"/>
    <w:rsid w:val="00A126CE"/>
    <w:rsid w:val="00A12873"/>
    <w:rsid w:val="00A131F5"/>
    <w:rsid w:val="00A13803"/>
    <w:rsid w:val="00A13AEF"/>
    <w:rsid w:val="00A13B97"/>
    <w:rsid w:val="00A13B9D"/>
    <w:rsid w:val="00A13CBB"/>
    <w:rsid w:val="00A13DB5"/>
    <w:rsid w:val="00A142A8"/>
    <w:rsid w:val="00A14417"/>
    <w:rsid w:val="00A1457B"/>
    <w:rsid w:val="00A1467C"/>
    <w:rsid w:val="00A14AA7"/>
    <w:rsid w:val="00A1515B"/>
    <w:rsid w:val="00A152CD"/>
    <w:rsid w:val="00A1578B"/>
    <w:rsid w:val="00A1578C"/>
    <w:rsid w:val="00A15C88"/>
    <w:rsid w:val="00A15DF4"/>
    <w:rsid w:val="00A15E0C"/>
    <w:rsid w:val="00A1631C"/>
    <w:rsid w:val="00A16649"/>
    <w:rsid w:val="00A167B3"/>
    <w:rsid w:val="00A168BA"/>
    <w:rsid w:val="00A16A65"/>
    <w:rsid w:val="00A16ADB"/>
    <w:rsid w:val="00A16B7D"/>
    <w:rsid w:val="00A16CA6"/>
    <w:rsid w:val="00A172F7"/>
    <w:rsid w:val="00A173D1"/>
    <w:rsid w:val="00A177A7"/>
    <w:rsid w:val="00A17915"/>
    <w:rsid w:val="00A1791F"/>
    <w:rsid w:val="00A17F4C"/>
    <w:rsid w:val="00A20267"/>
    <w:rsid w:val="00A2027E"/>
    <w:rsid w:val="00A20ABF"/>
    <w:rsid w:val="00A21147"/>
    <w:rsid w:val="00A211E2"/>
    <w:rsid w:val="00A213D1"/>
    <w:rsid w:val="00A21DCA"/>
    <w:rsid w:val="00A21FB9"/>
    <w:rsid w:val="00A2232B"/>
    <w:rsid w:val="00A224BE"/>
    <w:rsid w:val="00A227A6"/>
    <w:rsid w:val="00A22C31"/>
    <w:rsid w:val="00A22D6A"/>
    <w:rsid w:val="00A22D7C"/>
    <w:rsid w:val="00A23345"/>
    <w:rsid w:val="00A235BC"/>
    <w:rsid w:val="00A23769"/>
    <w:rsid w:val="00A237F0"/>
    <w:rsid w:val="00A23E92"/>
    <w:rsid w:val="00A240BD"/>
    <w:rsid w:val="00A24331"/>
    <w:rsid w:val="00A24509"/>
    <w:rsid w:val="00A24912"/>
    <w:rsid w:val="00A24B27"/>
    <w:rsid w:val="00A24C3A"/>
    <w:rsid w:val="00A24C51"/>
    <w:rsid w:val="00A24D37"/>
    <w:rsid w:val="00A24E5C"/>
    <w:rsid w:val="00A24F91"/>
    <w:rsid w:val="00A25149"/>
    <w:rsid w:val="00A25399"/>
    <w:rsid w:val="00A25618"/>
    <w:rsid w:val="00A2578F"/>
    <w:rsid w:val="00A25A79"/>
    <w:rsid w:val="00A26482"/>
    <w:rsid w:val="00A265E9"/>
    <w:rsid w:val="00A26870"/>
    <w:rsid w:val="00A26B42"/>
    <w:rsid w:val="00A26CD5"/>
    <w:rsid w:val="00A26D7E"/>
    <w:rsid w:val="00A270F4"/>
    <w:rsid w:val="00A27364"/>
    <w:rsid w:val="00A274F6"/>
    <w:rsid w:val="00A275BA"/>
    <w:rsid w:val="00A27944"/>
    <w:rsid w:val="00A27DC8"/>
    <w:rsid w:val="00A30057"/>
    <w:rsid w:val="00A3030B"/>
    <w:rsid w:val="00A30493"/>
    <w:rsid w:val="00A3056A"/>
    <w:rsid w:val="00A30738"/>
    <w:rsid w:val="00A309B4"/>
    <w:rsid w:val="00A30E63"/>
    <w:rsid w:val="00A3112E"/>
    <w:rsid w:val="00A3132F"/>
    <w:rsid w:val="00A31515"/>
    <w:rsid w:val="00A315EB"/>
    <w:rsid w:val="00A316F1"/>
    <w:rsid w:val="00A31DF9"/>
    <w:rsid w:val="00A3294E"/>
    <w:rsid w:val="00A32F40"/>
    <w:rsid w:val="00A32FD9"/>
    <w:rsid w:val="00A3321B"/>
    <w:rsid w:val="00A335AA"/>
    <w:rsid w:val="00A33A82"/>
    <w:rsid w:val="00A34880"/>
    <w:rsid w:val="00A34BAA"/>
    <w:rsid w:val="00A34E33"/>
    <w:rsid w:val="00A3521B"/>
    <w:rsid w:val="00A3546B"/>
    <w:rsid w:val="00A355D8"/>
    <w:rsid w:val="00A3566C"/>
    <w:rsid w:val="00A35779"/>
    <w:rsid w:val="00A35B9D"/>
    <w:rsid w:val="00A35D9E"/>
    <w:rsid w:val="00A35E2B"/>
    <w:rsid w:val="00A362B0"/>
    <w:rsid w:val="00A36969"/>
    <w:rsid w:val="00A36AC5"/>
    <w:rsid w:val="00A373FD"/>
    <w:rsid w:val="00A3748F"/>
    <w:rsid w:val="00A374EB"/>
    <w:rsid w:val="00A374FB"/>
    <w:rsid w:val="00A37621"/>
    <w:rsid w:val="00A3769C"/>
    <w:rsid w:val="00A37B07"/>
    <w:rsid w:val="00A37DAD"/>
    <w:rsid w:val="00A37E7E"/>
    <w:rsid w:val="00A37E84"/>
    <w:rsid w:val="00A4020A"/>
    <w:rsid w:val="00A4036A"/>
    <w:rsid w:val="00A40796"/>
    <w:rsid w:val="00A409F6"/>
    <w:rsid w:val="00A40DBD"/>
    <w:rsid w:val="00A41085"/>
    <w:rsid w:val="00A411BA"/>
    <w:rsid w:val="00A41287"/>
    <w:rsid w:val="00A412A9"/>
    <w:rsid w:val="00A4157E"/>
    <w:rsid w:val="00A415E4"/>
    <w:rsid w:val="00A41773"/>
    <w:rsid w:val="00A41961"/>
    <w:rsid w:val="00A41B24"/>
    <w:rsid w:val="00A41B80"/>
    <w:rsid w:val="00A41F50"/>
    <w:rsid w:val="00A42137"/>
    <w:rsid w:val="00A421BF"/>
    <w:rsid w:val="00A421D7"/>
    <w:rsid w:val="00A424C8"/>
    <w:rsid w:val="00A42600"/>
    <w:rsid w:val="00A428C4"/>
    <w:rsid w:val="00A42900"/>
    <w:rsid w:val="00A42CDC"/>
    <w:rsid w:val="00A42CF4"/>
    <w:rsid w:val="00A4305B"/>
    <w:rsid w:val="00A431DE"/>
    <w:rsid w:val="00A4377A"/>
    <w:rsid w:val="00A442F7"/>
    <w:rsid w:val="00A443BA"/>
    <w:rsid w:val="00A44A87"/>
    <w:rsid w:val="00A45010"/>
    <w:rsid w:val="00A45221"/>
    <w:rsid w:val="00A4530A"/>
    <w:rsid w:val="00A45369"/>
    <w:rsid w:val="00A45465"/>
    <w:rsid w:val="00A4560A"/>
    <w:rsid w:val="00A45824"/>
    <w:rsid w:val="00A45EA6"/>
    <w:rsid w:val="00A465A5"/>
    <w:rsid w:val="00A4696F"/>
    <w:rsid w:val="00A469E5"/>
    <w:rsid w:val="00A46A57"/>
    <w:rsid w:val="00A46B3F"/>
    <w:rsid w:val="00A46B69"/>
    <w:rsid w:val="00A46B98"/>
    <w:rsid w:val="00A46E5A"/>
    <w:rsid w:val="00A47688"/>
    <w:rsid w:val="00A47E94"/>
    <w:rsid w:val="00A50250"/>
    <w:rsid w:val="00A50275"/>
    <w:rsid w:val="00A5047B"/>
    <w:rsid w:val="00A50530"/>
    <w:rsid w:val="00A5060B"/>
    <w:rsid w:val="00A50B3B"/>
    <w:rsid w:val="00A50D44"/>
    <w:rsid w:val="00A50F68"/>
    <w:rsid w:val="00A5168C"/>
    <w:rsid w:val="00A51887"/>
    <w:rsid w:val="00A51D44"/>
    <w:rsid w:val="00A51F39"/>
    <w:rsid w:val="00A53018"/>
    <w:rsid w:val="00A530F0"/>
    <w:rsid w:val="00A5343E"/>
    <w:rsid w:val="00A5348A"/>
    <w:rsid w:val="00A539B3"/>
    <w:rsid w:val="00A53CA4"/>
    <w:rsid w:val="00A53CC7"/>
    <w:rsid w:val="00A53F2B"/>
    <w:rsid w:val="00A5409E"/>
    <w:rsid w:val="00A5434C"/>
    <w:rsid w:val="00A5473B"/>
    <w:rsid w:val="00A5487D"/>
    <w:rsid w:val="00A54A14"/>
    <w:rsid w:val="00A54B30"/>
    <w:rsid w:val="00A54D75"/>
    <w:rsid w:val="00A54EAB"/>
    <w:rsid w:val="00A54EDD"/>
    <w:rsid w:val="00A558EC"/>
    <w:rsid w:val="00A55AA4"/>
    <w:rsid w:val="00A55FA3"/>
    <w:rsid w:val="00A5632D"/>
    <w:rsid w:val="00A56607"/>
    <w:rsid w:val="00A567DB"/>
    <w:rsid w:val="00A567FC"/>
    <w:rsid w:val="00A5682B"/>
    <w:rsid w:val="00A568CA"/>
    <w:rsid w:val="00A56EE8"/>
    <w:rsid w:val="00A57BB9"/>
    <w:rsid w:val="00A57D03"/>
    <w:rsid w:val="00A57D69"/>
    <w:rsid w:val="00A57DE2"/>
    <w:rsid w:val="00A57DF4"/>
    <w:rsid w:val="00A57F7E"/>
    <w:rsid w:val="00A57FB2"/>
    <w:rsid w:val="00A608E1"/>
    <w:rsid w:val="00A60CE7"/>
    <w:rsid w:val="00A60D15"/>
    <w:rsid w:val="00A60EE9"/>
    <w:rsid w:val="00A6127D"/>
    <w:rsid w:val="00A612BE"/>
    <w:rsid w:val="00A612ED"/>
    <w:rsid w:val="00A61362"/>
    <w:rsid w:val="00A6137B"/>
    <w:rsid w:val="00A61564"/>
    <w:rsid w:val="00A6156C"/>
    <w:rsid w:val="00A619D9"/>
    <w:rsid w:val="00A61BBF"/>
    <w:rsid w:val="00A61CE4"/>
    <w:rsid w:val="00A61D69"/>
    <w:rsid w:val="00A61DA3"/>
    <w:rsid w:val="00A61E65"/>
    <w:rsid w:val="00A62461"/>
    <w:rsid w:val="00A6281A"/>
    <w:rsid w:val="00A62B32"/>
    <w:rsid w:val="00A62DD8"/>
    <w:rsid w:val="00A62E73"/>
    <w:rsid w:val="00A62F9F"/>
    <w:rsid w:val="00A6306B"/>
    <w:rsid w:val="00A63484"/>
    <w:rsid w:val="00A6370F"/>
    <w:rsid w:val="00A63E9B"/>
    <w:rsid w:val="00A6411B"/>
    <w:rsid w:val="00A64B99"/>
    <w:rsid w:val="00A655B4"/>
    <w:rsid w:val="00A655CC"/>
    <w:rsid w:val="00A6597C"/>
    <w:rsid w:val="00A659F8"/>
    <w:rsid w:val="00A65B97"/>
    <w:rsid w:val="00A65F56"/>
    <w:rsid w:val="00A669A9"/>
    <w:rsid w:val="00A6729D"/>
    <w:rsid w:val="00A67306"/>
    <w:rsid w:val="00A6733B"/>
    <w:rsid w:val="00A674AE"/>
    <w:rsid w:val="00A674C2"/>
    <w:rsid w:val="00A67537"/>
    <w:rsid w:val="00A676FF"/>
    <w:rsid w:val="00A67B07"/>
    <w:rsid w:val="00A67CF2"/>
    <w:rsid w:val="00A67DF1"/>
    <w:rsid w:val="00A7009D"/>
    <w:rsid w:val="00A7039F"/>
    <w:rsid w:val="00A7043C"/>
    <w:rsid w:val="00A70579"/>
    <w:rsid w:val="00A70721"/>
    <w:rsid w:val="00A70EEC"/>
    <w:rsid w:val="00A71113"/>
    <w:rsid w:val="00A71344"/>
    <w:rsid w:val="00A715F1"/>
    <w:rsid w:val="00A71622"/>
    <w:rsid w:val="00A71715"/>
    <w:rsid w:val="00A7186B"/>
    <w:rsid w:val="00A71992"/>
    <w:rsid w:val="00A71EFC"/>
    <w:rsid w:val="00A71F19"/>
    <w:rsid w:val="00A7247D"/>
    <w:rsid w:val="00A729CD"/>
    <w:rsid w:val="00A72B75"/>
    <w:rsid w:val="00A72C83"/>
    <w:rsid w:val="00A72CB9"/>
    <w:rsid w:val="00A72EF6"/>
    <w:rsid w:val="00A72FF4"/>
    <w:rsid w:val="00A73336"/>
    <w:rsid w:val="00A73846"/>
    <w:rsid w:val="00A74183"/>
    <w:rsid w:val="00A74401"/>
    <w:rsid w:val="00A74835"/>
    <w:rsid w:val="00A74912"/>
    <w:rsid w:val="00A74E9D"/>
    <w:rsid w:val="00A74EB4"/>
    <w:rsid w:val="00A74EC2"/>
    <w:rsid w:val="00A74FB7"/>
    <w:rsid w:val="00A75353"/>
    <w:rsid w:val="00A75715"/>
    <w:rsid w:val="00A75D4D"/>
    <w:rsid w:val="00A762E1"/>
    <w:rsid w:val="00A7641A"/>
    <w:rsid w:val="00A765AB"/>
    <w:rsid w:val="00A76992"/>
    <w:rsid w:val="00A76A65"/>
    <w:rsid w:val="00A76A80"/>
    <w:rsid w:val="00A76AFC"/>
    <w:rsid w:val="00A7704B"/>
    <w:rsid w:val="00A77723"/>
    <w:rsid w:val="00A778F3"/>
    <w:rsid w:val="00A77A07"/>
    <w:rsid w:val="00A77B3E"/>
    <w:rsid w:val="00A77EEE"/>
    <w:rsid w:val="00A80741"/>
    <w:rsid w:val="00A80CBE"/>
    <w:rsid w:val="00A80D3B"/>
    <w:rsid w:val="00A80DB1"/>
    <w:rsid w:val="00A80FD4"/>
    <w:rsid w:val="00A8125C"/>
    <w:rsid w:val="00A81458"/>
    <w:rsid w:val="00A819D9"/>
    <w:rsid w:val="00A81AB5"/>
    <w:rsid w:val="00A81E5B"/>
    <w:rsid w:val="00A8217D"/>
    <w:rsid w:val="00A828EA"/>
    <w:rsid w:val="00A82DD2"/>
    <w:rsid w:val="00A8364A"/>
    <w:rsid w:val="00A8368A"/>
    <w:rsid w:val="00A83848"/>
    <w:rsid w:val="00A83F17"/>
    <w:rsid w:val="00A83FA4"/>
    <w:rsid w:val="00A8429E"/>
    <w:rsid w:val="00A84441"/>
    <w:rsid w:val="00A8451E"/>
    <w:rsid w:val="00A84A37"/>
    <w:rsid w:val="00A84E9E"/>
    <w:rsid w:val="00A85131"/>
    <w:rsid w:val="00A856C6"/>
    <w:rsid w:val="00A85712"/>
    <w:rsid w:val="00A8572C"/>
    <w:rsid w:val="00A85E2F"/>
    <w:rsid w:val="00A85F87"/>
    <w:rsid w:val="00A86116"/>
    <w:rsid w:val="00A86262"/>
    <w:rsid w:val="00A86272"/>
    <w:rsid w:val="00A8667E"/>
    <w:rsid w:val="00A866EC"/>
    <w:rsid w:val="00A868CD"/>
    <w:rsid w:val="00A8692B"/>
    <w:rsid w:val="00A87027"/>
    <w:rsid w:val="00A87233"/>
    <w:rsid w:val="00A87D1B"/>
    <w:rsid w:val="00A87D8D"/>
    <w:rsid w:val="00A87E6E"/>
    <w:rsid w:val="00A87EB1"/>
    <w:rsid w:val="00A90690"/>
    <w:rsid w:val="00A90914"/>
    <w:rsid w:val="00A910D6"/>
    <w:rsid w:val="00A91136"/>
    <w:rsid w:val="00A91156"/>
    <w:rsid w:val="00A912C8"/>
    <w:rsid w:val="00A9163D"/>
    <w:rsid w:val="00A9178D"/>
    <w:rsid w:val="00A91D2C"/>
    <w:rsid w:val="00A91D57"/>
    <w:rsid w:val="00A91F68"/>
    <w:rsid w:val="00A92014"/>
    <w:rsid w:val="00A9251F"/>
    <w:rsid w:val="00A92655"/>
    <w:rsid w:val="00A9293B"/>
    <w:rsid w:val="00A9294B"/>
    <w:rsid w:val="00A92D12"/>
    <w:rsid w:val="00A92D73"/>
    <w:rsid w:val="00A933AB"/>
    <w:rsid w:val="00A93473"/>
    <w:rsid w:val="00A93786"/>
    <w:rsid w:val="00A93C8A"/>
    <w:rsid w:val="00A93DC9"/>
    <w:rsid w:val="00A93DEF"/>
    <w:rsid w:val="00A93E49"/>
    <w:rsid w:val="00A94298"/>
    <w:rsid w:val="00A94383"/>
    <w:rsid w:val="00A94BAA"/>
    <w:rsid w:val="00A94D54"/>
    <w:rsid w:val="00A951B4"/>
    <w:rsid w:val="00A954CC"/>
    <w:rsid w:val="00A955C9"/>
    <w:rsid w:val="00A955D3"/>
    <w:rsid w:val="00A955E7"/>
    <w:rsid w:val="00A96078"/>
    <w:rsid w:val="00A969DD"/>
    <w:rsid w:val="00A96F3B"/>
    <w:rsid w:val="00A96F79"/>
    <w:rsid w:val="00A9707C"/>
    <w:rsid w:val="00A970A8"/>
    <w:rsid w:val="00A97505"/>
    <w:rsid w:val="00A97AB9"/>
    <w:rsid w:val="00A97D8D"/>
    <w:rsid w:val="00A97FDD"/>
    <w:rsid w:val="00AA0931"/>
    <w:rsid w:val="00AA11BD"/>
    <w:rsid w:val="00AA120C"/>
    <w:rsid w:val="00AA157A"/>
    <w:rsid w:val="00AA1CBF"/>
    <w:rsid w:val="00AA1CFA"/>
    <w:rsid w:val="00AA1DE4"/>
    <w:rsid w:val="00AA1F4B"/>
    <w:rsid w:val="00AA205B"/>
    <w:rsid w:val="00AA2BE2"/>
    <w:rsid w:val="00AA2D46"/>
    <w:rsid w:val="00AA3016"/>
    <w:rsid w:val="00AA334A"/>
    <w:rsid w:val="00AA3423"/>
    <w:rsid w:val="00AA35DD"/>
    <w:rsid w:val="00AA42D8"/>
    <w:rsid w:val="00AA480C"/>
    <w:rsid w:val="00AA4D2C"/>
    <w:rsid w:val="00AA548B"/>
    <w:rsid w:val="00AA5599"/>
    <w:rsid w:val="00AA5727"/>
    <w:rsid w:val="00AA5968"/>
    <w:rsid w:val="00AA5B0D"/>
    <w:rsid w:val="00AA5DB3"/>
    <w:rsid w:val="00AA6D17"/>
    <w:rsid w:val="00AA6F1E"/>
    <w:rsid w:val="00AA6F40"/>
    <w:rsid w:val="00AA71C2"/>
    <w:rsid w:val="00AA798F"/>
    <w:rsid w:val="00AA7CCC"/>
    <w:rsid w:val="00AB04B4"/>
    <w:rsid w:val="00AB04C3"/>
    <w:rsid w:val="00AB058F"/>
    <w:rsid w:val="00AB086A"/>
    <w:rsid w:val="00AB09E4"/>
    <w:rsid w:val="00AB0B41"/>
    <w:rsid w:val="00AB0C39"/>
    <w:rsid w:val="00AB0D38"/>
    <w:rsid w:val="00AB15D4"/>
    <w:rsid w:val="00AB17AC"/>
    <w:rsid w:val="00AB19B7"/>
    <w:rsid w:val="00AB1F78"/>
    <w:rsid w:val="00AB21C9"/>
    <w:rsid w:val="00AB2203"/>
    <w:rsid w:val="00AB226F"/>
    <w:rsid w:val="00AB2368"/>
    <w:rsid w:val="00AB243F"/>
    <w:rsid w:val="00AB26BE"/>
    <w:rsid w:val="00AB2A06"/>
    <w:rsid w:val="00AB2D66"/>
    <w:rsid w:val="00AB342E"/>
    <w:rsid w:val="00AB3594"/>
    <w:rsid w:val="00AB3644"/>
    <w:rsid w:val="00AB3839"/>
    <w:rsid w:val="00AB38E6"/>
    <w:rsid w:val="00AB3A9B"/>
    <w:rsid w:val="00AB41CA"/>
    <w:rsid w:val="00AB4240"/>
    <w:rsid w:val="00AB4459"/>
    <w:rsid w:val="00AB45DA"/>
    <w:rsid w:val="00AB46A8"/>
    <w:rsid w:val="00AB4910"/>
    <w:rsid w:val="00AB4C58"/>
    <w:rsid w:val="00AB4EEE"/>
    <w:rsid w:val="00AB4FE9"/>
    <w:rsid w:val="00AB5021"/>
    <w:rsid w:val="00AB5700"/>
    <w:rsid w:val="00AB5955"/>
    <w:rsid w:val="00AB5AF1"/>
    <w:rsid w:val="00AB5B9C"/>
    <w:rsid w:val="00AB5C47"/>
    <w:rsid w:val="00AB5EE9"/>
    <w:rsid w:val="00AB65DE"/>
    <w:rsid w:val="00AB680C"/>
    <w:rsid w:val="00AB6866"/>
    <w:rsid w:val="00AB6B39"/>
    <w:rsid w:val="00AB6B68"/>
    <w:rsid w:val="00AB734C"/>
    <w:rsid w:val="00AB7357"/>
    <w:rsid w:val="00AB74F1"/>
    <w:rsid w:val="00AB76A0"/>
    <w:rsid w:val="00AB7B43"/>
    <w:rsid w:val="00AB7FA2"/>
    <w:rsid w:val="00AC0352"/>
    <w:rsid w:val="00AC058B"/>
    <w:rsid w:val="00AC089B"/>
    <w:rsid w:val="00AC0B42"/>
    <w:rsid w:val="00AC180F"/>
    <w:rsid w:val="00AC1895"/>
    <w:rsid w:val="00AC1FAA"/>
    <w:rsid w:val="00AC207B"/>
    <w:rsid w:val="00AC234D"/>
    <w:rsid w:val="00AC2785"/>
    <w:rsid w:val="00AC2986"/>
    <w:rsid w:val="00AC2CF5"/>
    <w:rsid w:val="00AC2DB3"/>
    <w:rsid w:val="00AC3154"/>
    <w:rsid w:val="00AC3253"/>
    <w:rsid w:val="00AC32A0"/>
    <w:rsid w:val="00AC32A7"/>
    <w:rsid w:val="00AC3ACC"/>
    <w:rsid w:val="00AC3AE0"/>
    <w:rsid w:val="00AC4047"/>
    <w:rsid w:val="00AC418A"/>
    <w:rsid w:val="00AC432B"/>
    <w:rsid w:val="00AC47D1"/>
    <w:rsid w:val="00AC486C"/>
    <w:rsid w:val="00AC4B5E"/>
    <w:rsid w:val="00AC5795"/>
    <w:rsid w:val="00AC5BA2"/>
    <w:rsid w:val="00AC5F01"/>
    <w:rsid w:val="00AC5F4E"/>
    <w:rsid w:val="00AC60C6"/>
    <w:rsid w:val="00AC675F"/>
    <w:rsid w:val="00AC68B9"/>
    <w:rsid w:val="00AC68D8"/>
    <w:rsid w:val="00AC694F"/>
    <w:rsid w:val="00AC6BC8"/>
    <w:rsid w:val="00AC702A"/>
    <w:rsid w:val="00AC7DA2"/>
    <w:rsid w:val="00AD028B"/>
    <w:rsid w:val="00AD057F"/>
    <w:rsid w:val="00AD0975"/>
    <w:rsid w:val="00AD09E9"/>
    <w:rsid w:val="00AD0BEE"/>
    <w:rsid w:val="00AD0E58"/>
    <w:rsid w:val="00AD10FD"/>
    <w:rsid w:val="00AD1113"/>
    <w:rsid w:val="00AD112E"/>
    <w:rsid w:val="00AD12CA"/>
    <w:rsid w:val="00AD1484"/>
    <w:rsid w:val="00AD1ACF"/>
    <w:rsid w:val="00AD203D"/>
    <w:rsid w:val="00AD214C"/>
    <w:rsid w:val="00AD27F7"/>
    <w:rsid w:val="00AD29FA"/>
    <w:rsid w:val="00AD327E"/>
    <w:rsid w:val="00AD3471"/>
    <w:rsid w:val="00AD3CBB"/>
    <w:rsid w:val="00AD4332"/>
    <w:rsid w:val="00AD4361"/>
    <w:rsid w:val="00AD449C"/>
    <w:rsid w:val="00AD4C21"/>
    <w:rsid w:val="00AD4DA0"/>
    <w:rsid w:val="00AD4E97"/>
    <w:rsid w:val="00AD5B4A"/>
    <w:rsid w:val="00AD5DE6"/>
    <w:rsid w:val="00AD5E31"/>
    <w:rsid w:val="00AD5F85"/>
    <w:rsid w:val="00AD6FEA"/>
    <w:rsid w:val="00AD73C9"/>
    <w:rsid w:val="00AD74F4"/>
    <w:rsid w:val="00AD79B0"/>
    <w:rsid w:val="00AD7ABF"/>
    <w:rsid w:val="00AD7CDF"/>
    <w:rsid w:val="00AD7E7C"/>
    <w:rsid w:val="00AE0102"/>
    <w:rsid w:val="00AE0878"/>
    <w:rsid w:val="00AE0B3A"/>
    <w:rsid w:val="00AE0B73"/>
    <w:rsid w:val="00AE0BCA"/>
    <w:rsid w:val="00AE0C33"/>
    <w:rsid w:val="00AE0CD8"/>
    <w:rsid w:val="00AE0E3F"/>
    <w:rsid w:val="00AE1445"/>
    <w:rsid w:val="00AE156A"/>
    <w:rsid w:val="00AE1BCB"/>
    <w:rsid w:val="00AE273E"/>
    <w:rsid w:val="00AE2762"/>
    <w:rsid w:val="00AE2A6C"/>
    <w:rsid w:val="00AE2BDC"/>
    <w:rsid w:val="00AE2CEB"/>
    <w:rsid w:val="00AE2D9E"/>
    <w:rsid w:val="00AE2DE6"/>
    <w:rsid w:val="00AE334D"/>
    <w:rsid w:val="00AE4202"/>
    <w:rsid w:val="00AE432B"/>
    <w:rsid w:val="00AE44F9"/>
    <w:rsid w:val="00AE4C83"/>
    <w:rsid w:val="00AE4FD9"/>
    <w:rsid w:val="00AE511B"/>
    <w:rsid w:val="00AE52AB"/>
    <w:rsid w:val="00AE565A"/>
    <w:rsid w:val="00AE5A59"/>
    <w:rsid w:val="00AE5DF4"/>
    <w:rsid w:val="00AE6394"/>
    <w:rsid w:val="00AE6459"/>
    <w:rsid w:val="00AE6923"/>
    <w:rsid w:val="00AE6E19"/>
    <w:rsid w:val="00AE70B1"/>
    <w:rsid w:val="00AE70C3"/>
    <w:rsid w:val="00AE73B9"/>
    <w:rsid w:val="00AE7666"/>
    <w:rsid w:val="00AE7850"/>
    <w:rsid w:val="00AE7C32"/>
    <w:rsid w:val="00AE7D19"/>
    <w:rsid w:val="00AE7E21"/>
    <w:rsid w:val="00AE7E6C"/>
    <w:rsid w:val="00AE7FE8"/>
    <w:rsid w:val="00AF0237"/>
    <w:rsid w:val="00AF0D82"/>
    <w:rsid w:val="00AF0E5F"/>
    <w:rsid w:val="00AF16EE"/>
    <w:rsid w:val="00AF176C"/>
    <w:rsid w:val="00AF17DF"/>
    <w:rsid w:val="00AF1A9E"/>
    <w:rsid w:val="00AF1B61"/>
    <w:rsid w:val="00AF1C02"/>
    <w:rsid w:val="00AF20D9"/>
    <w:rsid w:val="00AF236F"/>
    <w:rsid w:val="00AF253C"/>
    <w:rsid w:val="00AF269B"/>
    <w:rsid w:val="00AF28DF"/>
    <w:rsid w:val="00AF29B6"/>
    <w:rsid w:val="00AF2DE0"/>
    <w:rsid w:val="00AF307E"/>
    <w:rsid w:val="00AF3406"/>
    <w:rsid w:val="00AF3615"/>
    <w:rsid w:val="00AF3661"/>
    <w:rsid w:val="00AF3678"/>
    <w:rsid w:val="00AF3923"/>
    <w:rsid w:val="00AF3A17"/>
    <w:rsid w:val="00AF3C0E"/>
    <w:rsid w:val="00AF3D10"/>
    <w:rsid w:val="00AF4161"/>
    <w:rsid w:val="00AF445B"/>
    <w:rsid w:val="00AF48BD"/>
    <w:rsid w:val="00AF4BA1"/>
    <w:rsid w:val="00AF540D"/>
    <w:rsid w:val="00AF5637"/>
    <w:rsid w:val="00AF57BB"/>
    <w:rsid w:val="00AF58F7"/>
    <w:rsid w:val="00AF5ECE"/>
    <w:rsid w:val="00AF5F78"/>
    <w:rsid w:val="00AF6022"/>
    <w:rsid w:val="00AF60BF"/>
    <w:rsid w:val="00AF64A7"/>
    <w:rsid w:val="00AF673B"/>
    <w:rsid w:val="00AF68BA"/>
    <w:rsid w:val="00AF69A4"/>
    <w:rsid w:val="00AF69DB"/>
    <w:rsid w:val="00AF6CA2"/>
    <w:rsid w:val="00AF6D40"/>
    <w:rsid w:val="00AF7238"/>
    <w:rsid w:val="00AF72D2"/>
    <w:rsid w:val="00AF72DB"/>
    <w:rsid w:val="00AF76AE"/>
    <w:rsid w:val="00AF788B"/>
    <w:rsid w:val="00AF7A0B"/>
    <w:rsid w:val="00AF7A78"/>
    <w:rsid w:val="00AF7BE6"/>
    <w:rsid w:val="00AF7E3B"/>
    <w:rsid w:val="00B0001B"/>
    <w:rsid w:val="00B003EF"/>
    <w:rsid w:val="00B00824"/>
    <w:rsid w:val="00B00A82"/>
    <w:rsid w:val="00B013BE"/>
    <w:rsid w:val="00B0178B"/>
    <w:rsid w:val="00B017AD"/>
    <w:rsid w:val="00B019FC"/>
    <w:rsid w:val="00B01E48"/>
    <w:rsid w:val="00B0227A"/>
    <w:rsid w:val="00B0245B"/>
    <w:rsid w:val="00B02BC8"/>
    <w:rsid w:val="00B02C62"/>
    <w:rsid w:val="00B02C9E"/>
    <w:rsid w:val="00B02FEC"/>
    <w:rsid w:val="00B03367"/>
    <w:rsid w:val="00B033AE"/>
    <w:rsid w:val="00B035EB"/>
    <w:rsid w:val="00B037CF"/>
    <w:rsid w:val="00B037DB"/>
    <w:rsid w:val="00B0382E"/>
    <w:rsid w:val="00B04061"/>
    <w:rsid w:val="00B04243"/>
    <w:rsid w:val="00B043DF"/>
    <w:rsid w:val="00B04557"/>
    <w:rsid w:val="00B045C1"/>
    <w:rsid w:val="00B0486E"/>
    <w:rsid w:val="00B048BD"/>
    <w:rsid w:val="00B04C19"/>
    <w:rsid w:val="00B04F46"/>
    <w:rsid w:val="00B0597B"/>
    <w:rsid w:val="00B05ABE"/>
    <w:rsid w:val="00B05CB1"/>
    <w:rsid w:val="00B05D1B"/>
    <w:rsid w:val="00B05E2C"/>
    <w:rsid w:val="00B06521"/>
    <w:rsid w:val="00B068F7"/>
    <w:rsid w:val="00B069DF"/>
    <w:rsid w:val="00B100E5"/>
    <w:rsid w:val="00B1014D"/>
    <w:rsid w:val="00B10748"/>
    <w:rsid w:val="00B10A7E"/>
    <w:rsid w:val="00B10AA1"/>
    <w:rsid w:val="00B112B5"/>
    <w:rsid w:val="00B11621"/>
    <w:rsid w:val="00B11A9F"/>
    <w:rsid w:val="00B11B58"/>
    <w:rsid w:val="00B11E34"/>
    <w:rsid w:val="00B120B4"/>
    <w:rsid w:val="00B12325"/>
    <w:rsid w:val="00B124FB"/>
    <w:rsid w:val="00B126D2"/>
    <w:rsid w:val="00B12855"/>
    <w:rsid w:val="00B128CC"/>
    <w:rsid w:val="00B12BD7"/>
    <w:rsid w:val="00B13102"/>
    <w:rsid w:val="00B1315C"/>
    <w:rsid w:val="00B13298"/>
    <w:rsid w:val="00B138A6"/>
    <w:rsid w:val="00B1396F"/>
    <w:rsid w:val="00B139EB"/>
    <w:rsid w:val="00B13ADB"/>
    <w:rsid w:val="00B13BF5"/>
    <w:rsid w:val="00B13CED"/>
    <w:rsid w:val="00B13DC8"/>
    <w:rsid w:val="00B1418D"/>
    <w:rsid w:val="00B1425D"/>
    <w:rsid w:val="00B1483E"/>
    <w:rsid w:val="00B14911"/>
    <w:rsid w:val="00B14FB4"/>
    <w:rsid w:val="00B15032"/>
    <w:rsid w:val="00B15077"/>
    <w:rsid w:val="00B15078"/>
    <w:rsid w:val="00B152AC"/>
    <w:rsid w:val="00B1539E"/>
    <w:rsid w:val="00B154CD"/>
    <w:rsid w:val="00B15C90"/>
    <w:rsid w:val="00B15F81"/>
    <w:rsid w:val="00B165F2"/>
    <w:rsid w:val="00B166C8"/>
    <w:rsid w:val="00B167B5"/>
    <w:rsid w:val="00B1684B"/>
    <w:rsid w:val="00B16CAD"/>
    <w:rsid w:val="00B171F0"/>
    <w:rsid w:val="00B176E0"/>
    <w:rsid w:val="00B179DD"/>
    <w:rsid w:val="00B20038"/>
    <w:rsid w:val="00B201CC"/>
    <w:rsid w:val="00B204EF"/>
    <w:rsid w:val="00B2051A"/>
    <w:rsid w:val="00B20894"/>
    <w:rsid w:val="00B2138E"/>
    <w:rsid w:val="00B21490"/>
    <w:rsid w:val="00B21537"/>
    <w:rsid w:val="00B21AF5"/>
    <w:rsid w:val="00B21CE1"/>
    <w:rsid w:val="00B21DA7"/>
    <w:rsid w:val="00B21DAD"/>
    <w:rsid w:val="00B21EA6"/>
    <w:rsid w:val="00B22129"/>
    <w:rsid w:val="00B2219F"/>
    <w:rsid w:val="00B22494"/>
    <w:rsid w:val="00B22AD8"/>
    <w:rsid w:val="00B22C3E"/>
    <w:rsid w:val="00B22D86"/>
    <w:rsid w:val="00B2305E"/>
    <w:rsid w:val="00B2305F"/>
    <w:rsid w:val="00B230B1"/>
    <w:rsid w:val="00B2358B"/>
    <w:rsid w:val="00B239E2"/>
    <w:rsid w:val="00B23A3B"/>
    <w:rsid w:val="00B2408C"/>
    <w:rsid w:val="00B2410F"/>
    <w:rsid w:val="00B2417A"/>
    <w:rsid w:val="00B244E0"/>
    <w:rsid w:val="00B246E4"/>
    <w:rsid w:val="00B24CDB"/>
    <w:rsid w:val="00B24DFB"/>
    <w:rsid w:val="00B25331"/>
    <w:rsid w:val="00B2559F"/>
    <w:rsid w:val="00B25714"/>
    <w:rsid w:val="00B259C5"/>
    <w:rsid w:val="00B25A40"/>
    <w:rsid w:val="00B25AC9"/>
    <w:rsid w:val="00B25AE8"/>
    <w:rsid w:val="00B25D45"/>
    <w:rsid w:val="00B25DD2"/>
    <w:rsid w:val="00B25ED8"/>
    <w:rsid w:val="00B25F73"/>
    <w:rsid w:val="00B26406"/>
    <w:rsid w:val="00B26828"/>
    <w:rsid w:val="00B26898"/>
    <w:rsid w:val="00B26A3A"/>
    <w:rsid w:val="00B26C7E"/>
    <w:rsid w:val="00B26D6B"/>
    <w:rsid w:val="00B26E2A"/>
    <w:rsid w:val="00B26F77"/>
    <w:rsid w:val="00B2708A"/>
    <w:rsid w:val="00B2749A"/>
    <w:rsid w:val="00B30043"/>
    <w:rsid w:val="00B300AF"/>
    <w:rsid w:val="00B303A7"/>
    <w:rsid w:val="00B305A9"/>
    <w:rsid w:val="00B30899"/>
    <w:rsid w:val="00B30932"/>
    <w:rsid w:val="00B30CE0"/>
    <w:rsid w:val="00B30E40"/>
    <w:rsid w:val="00B317C6"/>
    <w:rsid w:val="00B3186A"/>
    <w:rsid w:val="00B318B3"/>
    <w:rsid w:val="00B31ABC"/>
    <w:rsid w:val="00B31EA0"/>
    <w:rsid w:val="00B321AF"/>
    <w:rsid w:val="00B32440"/>
    <w:rsid w:val="00B3251B"/>
    <w:rsid w:val="00B327AA"/>
    <w:rsid w:val="00B32B52"/>
    <w:rsid w:val="00B32C88"/>
    <w:rsid w:val="00B33341"/>
    <w:rsid w:val="00B33508"/>
    <w:rsid w:val="00B33C83"/>
    <w:rsid w:val="00B33C97"/>
    <w:rsid w:val="00B33E0D"/>
    <w:rsid w:val="00B33E18"/>
    <w:rsid w:val="00B33F96"/>
    <w:rsid w:val="00B34033"/>
    <w:rsid w:val="00B34357"/>
    <w:rsid w:val="00B344B2"/>
    <w:rsid w:val="00B3485E"/>
    <w:rsid w:val="00B34AB5"/>
    <w:rsid w:val="00B34FDA"/>
    <w:rsid w:val="00B35534"/>
    <w:rsid w:val="00B3558E"/>
    <w:rsid w:val="00B35843"/>
    <w:rsid w:val="00B359AE"/>
    <w:rsid w:val="00B35E45"/>
    <w:rsid w:val="00B35EAE"/>
    <w:rsid w:val="00B364E1"/>
    <w:rsid w:val="00B366A4"/>
    <w:rsid w:val="00B36A47"/>
    <w:rsid w:val="00B36BE0"/>
    <w:rsid w:val="00B36D26"/>
    <w:rsid w:val="00B3725C"/>
    <w:rsid w:val="00B372E0"/>
    <w:rsid w:val="00B37B43"/>
    <w:rsid w:val="00B37D5C"/>
    <w:rsid w:val="00B37D85"/>
    <w:rsid w:val="00B40269"/>
    <w:rsid w:val="00B4041F"/>
    <w:rsid w:val="00B405B5"/>
    <w:rsid w:val="00B406B2"/>
    <w:rsid w:val="00B406FF"/>
    <w:rsid w:val="00B40AC6"/>
    <w:rsid w:val="00B40BCD"/>
    <w:rsid w:val="00B40F34"/>
    <w:rsid w:val="00B414FB"/>
    <w:rsid w:val="00B41E18"/>
    <w:rsid w:val="00B4208F"/>
    <w:rsid w:val="00B421B1"/>
    <w:rsid w:val="00B423AB"/>
    <w:rsid w:val="00B429F9"/>
    <w:rsid w:val="00B42E28"/>
    <w:rsid w:val="00B432AB"/>
    <w:rsid w:val="00B43E5D"/>
    <w:rsid w:val="00B43EEE"/>
    <w:rsid w:val="00B4531B"/>
    <w:rsid w:val="00B453F1"/>
    <w:rsid w:val="00B45ABF"/>
    <w:rsid w:val="00B45F0F"/>
    <w:rsid w:val="00B46309"/>
    <w:rsid w:val="00B46943"/>
    <w:rsid w:val="00B469D4"/>
    <w:rsid w:val="00B46B18"/>
    <w:rsid w:val="00B47544"/>
    <w:rsid w:val="00B476A5"/>
    <w:rsid w:val="00B477FA"/>
    <w:rsid w:val="00B47CF1"/>
    <w:rsid w:val="00B5041F"/>
    <w:rsid w:val="00B50B31"/>
    <w:rsid w:val="00B50D6A"/>
    <w:rsid w:val="00B50EAF"/>
    <w:rsid w:val="00B5105C"/>
    <w:rsid w:val="00B5145A"/>
    <w:rsid w:val="00B51643"/>
    <w:rsid w:val="00B51A59"/>
    <w:rsid w:val="00B52175"/>
    <w:rsid w:val="00B5227A"/>
    <w:rsid w:val="00B5265D"/>
    <w:rsid w:val="00B52675"/>
    <w:rsid w:val="00B5268E"/>
    <w:rsid w:val="00B52764"/>
    <w:rsid w:val="00B52956"/>
    <w:rsid w:val="00B5366C"/>
    <w:rsid w:val="00B536A0"/>
    <w:rsid w:val="00B53A0A"/>
    <w:rsid w:val="00B53D2D"/>
    <w:rsid w:val="00B53E2B"/>
    <w:rsid w:val="00B53FC6"/>
    <w:rsid w:val="00B54016"/>
    <w:rsid w:val="00B547C6"/>
    <w:rsid w:val="00B5490C"/>
    <w:rsid w:val="00B54BCD"/>
    <w:rsid w:val="00B54EE6"/>
    <w:rsid w:val="00B55375"/>
    <w:rsid w:val="00B5539C"/>
    <w:rsid w:val="00B5600A"/>
    <w:rsid w:val="00B5605A"/>
    <w:rsid w:val="00B56309"/>
    <w:rsid w:val="00B56706"/>
    <w:rsid w:val="00B56AF7"/>
    <w:rsid w:val="00B57057"/>
    <w:rsid w:val="00B571E2"/>
    <w:rsid w:val="00B57452"/>
    <w:rsid w:val="00B5766E"/>
    <w:rsid w:val="00B576C3"/>
    <w:rsid w:val="00B57995"/>
    <w:rsid w:val="00B603FD"/>
    <w:rsid w:val="00B607E4"/>
    <w:rsid w:val="00B60C39"/>
    <w:rsid w:val="00B618AC"/>
    <w:rsid w:val="00B61B5A"/>
    <w:rsid w:val="00B61C6C"/>
    <w:rsid w:val="00B61E55"/>
    <w:rsid w:val="00B61E7A"/>
    <w:rsid w:val="00B62133"/>
    <w:rsid w:val="00B62F43"/>
    <w:rsid w:val="00B62F4A"/>
    <w:rsid w:val="00B632E1"/>
    <w:rsid w:val="00B638EA"/>
    <w:rsid w:val="00B63BE3"/>
    <w:rsid w:val="00B6414B"/>
    <w:rsid w:val="00B64560"/>
    <w:rsid w:val="00B646E1"/>
    <w:rsid w:val="00B647F1"/>
    <w:rsid w:val="00B64B80"/>
    <w:rsid w:val="00B64D83"/>
    <w:rsid w:val="00B64DB6"/>
    <w:rsid w:val="00B64DE0"/>
    <w:rsid w:val="00B654BD"/>
    <w:rsid w:val="00B65A63"/>
    <w:rsid w:val="00B65D32"/>
    <w:rsid w:val="00B65F17"/>
    <w:rsid w:val="00B66070"/>
    <w:rsid w:val="00B66131"/>
    <w:rsid w:val="00B66412"/>
    <w:rsid w:val="00B6647D"/>
    <w:rsid w:val="00B66500"/>
    <w:rsid w:val="00B66781"/>
    <w:rsid w:val="00B6682C"/>
    <w:rsid w:val="00B66AC5"/>
    <w:rsid w:val="00B66FB4"/>
    <w:rsid w:val="00B670D1"/>
    <w:rsid w:val="00B6720A"/>
    <w:rsid w:val="00B67502"/>
    <w:rsid w:val="00B67949"/>
    <w:rsid w:val="00B70013"/>
    <w:rsid w:val="00B7002F"/>
    <w:rsid w:val="00B70291"/>
    <w:rsid w:val="00B70D45"/>
    <w:rsid w:val="00B71090"/>
    <w:rsid w:val="00B713E1"/>
    <w:rsid w:val="00B716A6"/>
    <w:rsid w:val="00B719D6"/>
    <w:rsid w:val="00B72084"/>
    <w:rsid w:val="00B721BF"/>
    <w:rsid w:val="00B72331"/>
    <w:rsid w:val="00B724B0"/>
    <w:rsid w:val="00B724EA"/>
    <w:rsid w:val="00B72605"/>
    <w:rsid w:val="00B726AD"/>
    <w:rsid w:val="00B729BD"/>
    <w:rsid w:val="00B72A79"/>
    <w:rsid w:val="00B72C79"/>
    <w:rsid w:val="00B72EF7"/>
    <w:rsid w:val="00B730C5"/>
    <w:rsid w:val="00B731BE"/>
    <w:rsid w:val="00B73223"/>
    <w:rsid w:val="00B737F8"/>
    <w:rsid w:val="00B7384D"/>
    <w:rsid w:val="00B73978"/>
    <w:rsid w:val="00B739AE"/>
    <w:rsid w:val="00B73AB1"/>
    <w:rsid w:val="00B73ABC"/>
    <w:rsid w:val="00B73B24"/>
    <w:rsid w:val="00B740CF"/>
    <w:rsid w:val="00B743CE"/>
    <w:rsid w:val="00B74D6E"/>
    <w:rsid w:val="00B750C6"/>
    <w:rsid w:val="00B751C7"/>
    <w:rsid w:val="00B751E0"/>
    <w:rsid w:val="00B75314"/>
    <w:rsid w:val="00B7559E"/>
    <w:rsid w:val="00B758ED"/>
    <w:rsid w:val="00B75C2A"/>
    <w:rsid w:val="00B75CBB"/>
    <w:rsid w:val="00B76083"/>
    <w:rsid w:val="00B76284"/>
    <w:rsid w:val="00B766AE"/>
    <w:rsid w:val="00B77133"/>
    <w:rsid w:val="00B7730F"/>
    <w:rsid w:val="00B77477"/>
    <w:rsid w:val="00B7773A"/>
    <w:rsid w:val="00B779C4"/>
    <w:rsid w:val="00B77D6D"/>
    <w:rsid w:val="00B80371"/>
    <w:rsid w:val="00B8040B"/>
    <w:rsid w:val="00B80462"/>
    <w:rsid w:val="00B80789"/>
    <w:rsid w:val="00B80CFD"/>
    <w:rsid w:val="00B80E06"/>
    <w:rsid w:val="00B81293"/>
    <w:rsid w:val="00B819CF"/>
    <w:rsid w:val="00B820DE"/>
    <w:rsid w:val="00B82768"/>
    <w:rsid w:val="00B82902"/>
    <w:rsid w:val="00B82BA0"/>
    <w:rsid w:val="00B82C4D"/>
    <w:rsid w:val="00B83017"/>
    <w:rsid w:val="00B8351F"/>
    <w:rsid w:val="00B83BF2"/>
    <w:rsid w:val="00B83C42"/>
    <w:rsid w:val="00B83DD1"/>
    <w:rsid w:val="00B84741"/>
    <w:rsid w:val="00B84AA1"/>
    <w:rsid w:val="00B84AAE"/>
    <w:rsid w:val="00B84CA0"/>
    <w:rsid w:val="00B84CEC"/>
    <w:rsid w:val="00B84E2D"/>
    <w:rsid w:val="00B8547B"/>
    <w:rsid w:val="00B8561C"/>
    <w:rsid w:val="00B85D5C"/>
    <w:rsid w:val="00B86064"/>
    <w:rsid w:val="00B8621A"/>
    <w:rsid w:val="00B862FD"/>
    <w:rsid w:val="00B86534"/>
    <w:rsid w:val="00B866E2"/>
    <w:rsid w:val="00B868CE"/>
    <w:rsid w:val="00B86D19"/>
    <w:rsid w:val="00B87626"/>
    <w:rsid w:val="00B8782A"/>
    <w:rsid w:val="00B87B4A"/>
    <w:rsid w:val="00B90267"/>
    <w:rsid w:val="00B9027A"/>
    <w:rsid w:val="00B90355"/>
    <w:rsid w:val="00B905AC"/>
    <w:rsid w:val="00B90887"/>
    <w:rsid w:val="00B908D3"/>
    <w:rsid w:val="00B90F9B"/>
    <w:rsid w:val="00B9113A"/>
    <w:rsid w:val="00B91404"/>
    <w:rsid w:val="00B914FB"/>
    <w:rsid w:val="00B91685"/>
    <w:rsid w:val="00B91805"/>
    <w:rsid w:val="00B91811"/>
    <w:rsid w:val="00B91AF6"/>
    <w:rsid w:val="00B91CD0"/>
    <w:rsid w:val="00B9255D"/>
    <w:rsid w:val="00B9298C"/>
    <w:rsid w:val="00B92F3F"/>
    <w:rsid w:val="00B930FD"/>
    <w:rsid w:val="00B9316B"/>
    <w:rsid w:val="00B9338B"/>
    <w:rsid w:val="00B9348C"/>
    <w:rsid w:val="00B93949"/>
    <w:rsid w:val="00B93B1C"/>
    <w:rsid w:val="00B93BEF"/>
    <w:rsid w:val="00B93C89"/>
    <w:rsid w:val="00B94847"/>
    <w:rsid w:val="00B94E0C"/>
    <w:rsid w:val="00B94E81"/>
    <w:rsid w:val="00B95249"/>
    <w:rsid w:val="00B95304"/>
    <w:rsid w:val="00B95A8F"/>
    <w:rsid w:val="00B95D02"/>
    <w:rsid w:val="00B9601A"/>
    <w:rsid w:val="00B96220"/>
    <w:rsid w:val="00B96292"/>
    <w:rsid w:val="00B96318"/>
    <w:rsid w:val="00B96345"/>
    <w:rsid w:val="00B9665B"/>
    <w:rsid w:val="00B966FA"/>
    <w:rsid w:val="00B97160"/>
    <w:rsid w:val="00B97A1F"/>
    <w:rsid w:val="00B97C65"/>
    <w:rsid w:val="00B97F0E"/>
    <w:rsid w:val="00BA00D5"/>
    <w:rsid w:val="00BA04D8"/>
    <w:rsid w:val="00BA0501"/>
    <w:rsid w:val="00BA07FC"/>
    <w:rsid w:val="00BA08EA"/>
    <w:rsid w:val="00BA08F0"/>
    <w:rsid w:val="00BA0A56"/>
    <w:rsid w:val="00BA0A89"/>
    <w:rsid w:val="00BA0DF7"/>
    <w:rsid w:val="00BA10BB"/>
    <w:rsid w:val="00BA142C"/>
    <w:rsid w:val="00BA185D"/>
    <w:rsid w:val="00BA1BA5"/>
    <w:rsid w:val="00BA1BC6"/>
    <w:rsid w:val="00BA1D8B"/>
    <w:rsid w:val="00BA242D"/>
    <w:rsid w:val="00BA24D5"/>
    <w:rsid w:val="00BA29A5"/>
    <w:rsid w:val="00BA2A08"/>
    <w:rsid w:val="00BA2BC3"/>
    <w:rsid w:val="00BA2F06"/>
    <w:rsid w:val="00BA333B"/>
    <w:rsid w:val="00BA3359"/>
    <w:rsid w:val="00BA3BA0"/>
    <w:rsid w:val="00BA3C32"/>
    <w:rsid w:val="00BA3CC1"/>
    <w:rsid w:val="00BA3DE4"/>
    <w:rsid w:val="00BA418B"/>
    <w:rsid w:val="00BA4381"/>
    <w:rsid w:val="00BA441F"/>
    <w:rsid w:val="00BA44CF"/>
    <w:rsid w:val="00BA46D2"/>
    <w:rsid w:val="00BA4CD0"/>
    <w:rsid w:val="00BA4DAE"/>
    <w:rsid w:val="00BA52EF"/>
    <w:rsid w:val="00BA5646"/>
    <w:rsid w:val="00BA5647"/>
    <w:rsid w:val="00BA5785"/>
    <w:rsid w:val="00BA5815"/>
    <w:rsid w:val="00BA59A7"/>
    <w:rsid w:val="00BA5A04"/>
    <w:rsid w:val="00BA5AC3"/>
    <w:rsid w:val="00BA5D52"/>
    <w:rsid w:val="00BA5F9E"/>
    <w:rsid w:val="00BA6137"/>
    <w:rsid w:val="00BA6DF8"/>
    <w:rsid w:val="00BA728E"/>
    <w:rsid w:val="00BA74FE"/>
    <w:rsid w:val="00BA7651"/>
    <w:rsid w:val="00BA7D5C"/>
    <w:rsid w:val="00BB05ED"/>
    <w:rsid w:val="00BB09E5"/>
    <w:rsid w:val="00BB0FC8"/>
    <w:rsid w:val="00BB1082"/>
    <w:rsid w:val="00BB1678"/>
    <w:rsid w:val="00BB19E0"/>
    <w:rsid w:val="00BB1BB5"/>
    <w:rsid w:val="00BB1D49"/>
    <w:rsid w:val="00BB1EEC"/>
    <w:rsid w:val="00BB25AE"/>
    <w:rsid w:val="00BB2EAC"/>
    <w:rsid w:val="00BB312A"/>
    <w:rsid w:val="00BB31DB"/>
    <w:rsid w:val="00BB32D3"/>
    <w:rsid w:val="00BB342E"/>
    <w:rsid w:val="00BB3781"/>
    <w:rsid w:val="00BB3813"/>
    <w:rsid w:val="00BB3BA5"/>
    <w:rsid w:val="00BB3CEC"/>
    <w:rsid w:val="00BB423B"/>
    <w:rsid w:val="00BB428B"/>
    <w:rsid w:val="00BB4563"/>
    <w:rsid w:val="00BB4659"/>
    <w:rsid w:val="00BB4CFD"/>
    <w:rsid w:val="00BB5072"/>
    <w:rsid w:val="00BB5526"/>
    <w:rsid w:val="00BB58FD"/>
    <w:rsid w:val="00BB5C66"/>
    <w:rsid w:val="00BB5E04"/>
    <w:rsid w:val="00BB5EB7"/>
    <w:rsid w:val="00BB60C6"/>
    <w:rsid w:val="00BB621B"/>
    <w:rsid w:val="00BB66B9"/>
    <w:rsid w:val="00BB6A54"/>
    <w:rsid w:val="00BB6BBF"/>
    <w:rsid w:val="00BB79B8"/>
    <w:rsid w:val="00BB7AD2"/>
    <w:rsid w:val="00BB7F48"/>
    <w:rsid w:val="00BC012C"/>
    <w:rsid w:val="00BC01FA"/>
    <w:rsid w:val="00BC0502"/>
    <w:rsid w:val="00BC0512"/>
    <w:rsid w:val="00BC06D3"/>
    <w:rsid w:val="00BC0B7F"/>
    <w:rsid w:val="00BC1482"/>
    <w:rsid w:val="00BC1962"/>
    <w:rsid w:val="00BC1CD0"/>
    <w:rsid w:val="00BC1E24"/>
    <w:rsid w:val="00BC1F82"/>
    <w:rsid w:val="00BC2063"/>
    <w:rsid w:val="00BC2376"/>
    <w:rsid w:val="00BC297E"/>
    <w:rsid w:val="00BC30A4"/>
    <w:rsid w:val="00BC3355"/>
    <w:rsid w:val="00BC3469"/>
    <w:rsid w:val="00BC3919"/>
    <w:rsid w:val="00BC3989"/>
    <w:rsid w:val="00BC3F0B"/>
    <w:rsid w:val="00BC42F6"/>
    <w:rsid w:val="00BC4355"/>
    <w:rsid w:val="00BC4518"/>
    <w:rsid w:val="00BC45F5"/>
    <w:rsid w:val="00BC475A"/>
    <w:rsid w:val="00BC495C"/>
    <w:rsid w:val="00BC4E0D"/>
    <w:rsid w:val="00BC4EB2"/>
    <w:rsid w:val="00BC50D7"/>
    <w:rsid w:val="00BC5140"/>
    <w:rsid w:val="00BC5449"/>
    <w:rsid w:val="00BC547A"/>
    <w:rsid w:val="00BC557E"/>
    <w:rsid w:val="00BC5698"/>
    <w:rsid w:val="00BC5776"/>
    <w:rsid w:val="00BC5CD3"/>
    <w:rsid w:val="00BC618B"/>
    <w:rsid w:val="00BC69DF"/>
    <w:rsid w:val="00BC6AB6"/>
    <w:rsid w:val="00BC6B1F"/>
    <w:rsid w:val="00BC6ED1"/>
    <w:rsid w:val="00BC71BB"/>
    <w:rsid w:val="00BC7424"/>
    <w:rsid w:val="00BC78B5"/>
    <w:rsid w:val="00BC7AC7"/>
    <w:rsid w:val="00BC7CF8"/>
    <w:rsid w:val="00BD046B"/>
    <w:rsid w:val="00BD059A"/>
    <w:rsid w:val="00BD05E0"/>
    <w:rsid w:val="00BD062E"/>
    <w:rsid w:val="00BD06CC"/>
    <w:rsid w:val="00BD0BF6"/>
    <w:rsid w:val="00BD0C1E"/>
    <w:rsid w:val="00BD11B1"/>
    <w:rsid w:val="00BD14A6"/>
    <w:rsid w:val="00BD1548"/>
    <w:rsid w:val="00BD156F"/>
    <w:rsid w:val="00BD16FC"/>
    <w:rsid w:val="00BD181D"/>
    <w:rsid w:val="00BD186F"/>
    <w:rsid w:val="00BD18D7"/>
    <w:rsid w:val="00BD1DA1"/>
    <w:rsid w:val="00BD1E34"/>
    <w:rsid w:val="00BD1FB6"/>
    <w:rsid w:val="00BD2069"/>
    <w:rsid w:val="00BD229E"/>
    <w:rsid w:val="00BD22F4"/>
    <w:rsid w:val="00BD26A3"/>
    <w:rsid w:val="00BD295C"/>
    <w:rsid w:val="00BD2C8A"/>
    <w:rsid w:val="00BD2D4B"/>
    <w:rsid w:val="00BD3095"/>
    <w:rsid w:val="00BD30A3"/>
    <w:rsid w:val="00BD34FA"/>
    <w:rsid w:val="00BD375E"/>
    <w:rsid w:val="00BD39DB"/>
    <w:rsid w:val="00BD3A7F"/>
    <w:rsid w:val="00BD3B00"/>
    <w:rsid w:val="00BD3E47"/>
    <w:rsid w:val="00BD3F04"/>
    <w:rsid w:val="00BD43A1"/>
    <w:rsid w:val="00BD440F"/>
    <w:rsid w:val="00BD49D1"/>
    <w:rsid w:val="00BD4B69"/>
    <w:rsid w:val="00BD4BF5"/>
    <w:rsid w:val="00BD5033"/>
    <w:rsid w:val="00BD510E"/>
    <w:rsid w:val="00BD5762"/>
    <w:rsid w:val="00BD57A6"/>
    <w:rsid w:val="00BD5C93"/>
    <w:rsid w:val="00BD6135"/>
    <w:rsid w:val="00BD61D3"/>
    <w:rsid w:val="00BD659C"/>
    <w:rsid w:val="00BD68BA"/>
    <w:rsid w:val="00BD7A2E"/>
    <w:rsid w:val="00BD7A49"/>
    <w:rsid w:val="00BD7CE6"/>
    <w:rsid w:val="00BE0158"/>
    <w:rsid w:val="00BE0173"/>
    <w:rsid w:val="00BE0A0C"/>
    <w:rsid w:val="00BE0B2A"/>
    <w:rsid w:val="00BE0B31"/>
    <w:rsid w:val="00BE1393"/>
    <w:rsid w:val="00BE152D"/>
    <w:rsid w:val="00BE16AC"/>
    <w:rsid w:val="00BE173F"/>
    <w:rsid w:val="00BE1F2D"/>
    <w:rsid w:val="00BE2144"/>
    <w:rsid w:val="00BE26EA"/>
    <w:rsid w:val="00BE2732"/>
    <w:rsid w:val="00BE298F"/>
    <w:rsid w:val="00BE2BFF"/>
    <w:rsid w:val="00BE2F84"/>
    <w:rsid w:val="00BE33D5"/>
    <w:rsid w:val="00BE3438"/>
    <w:rsid w:val="00BE39DD"/>
    <w:rsid w:val="00BE3D88"/>
    <w:rsid w:val="00BE3DD9"/>
    <w:rsid w:val="00BE3E15"/>
    <w:rsid w:val="00BE3F16"/>
    <w:rsid w:val="00BE4339"/>
    <w:rsid w:val="00BE4624"/>
    <w:rsid w:val="00BE47CB"/>
    <w:rsid w:val="00BE4CC0"/>
    <w:rsid w:val="00BE5253"/>
    <w:rsid w:val="00BE5E8F"/>
    <w:rsid w:val="00BE5ECA"/>
    <w:rsid w:val="00BE607C"/>
    <w:rsid w:val="00BE6280"/>
    <w:rsid w:val="00BE6A05"/>
    <w:rsid w:val="00BE6A06"/>
    <w:rsid w:val="00BE6EA5"/>
    <w:rsid w:val="00BE6F42"/>
    <w:rsid w:val="00BE7264"/>
    <w:rsid w:val="00BE75D0"/>
    <w:rsid w:val="00BE7B24"/>
    <w:rsid w:val="00BF041F"/>
    <w:rsid w:val="00BF05CF"/>
    <w:rsid w:val="00BF0EDC"/>
    <w:rsid w:val="00BF13F7"/>
    <w:rsid w:val="00BF17FE"/>
    <w:rsid w:val="00BF1976"/>
    <w:rsid w:val="00BF1B28"/>
    <w:rsid w:val="00BF1B5C"/>
    <w:rsid w:val="00BF1F0C"/>
    <w:rsid w:val="00BF2120"/>
    <w:rsid w:val="00BF2123"/>
    <w:rsid w:val="00BF21AE"/>
    <w:rsid w:val="00BF2AD6"/>
    <w:rsid w:val="00BF2B19"/>
    <w:rsid w:val="00BF2C31"/>
    <w:rsid w:val="00BF2FB7"/>
    <w:rsid w:val="00BF3A2E"/>
    <w:rsid w:val="00BF4400"/>
    <w:rsid w:val="00BF4BD7"/>
    <w:rsid w:val="00BF52C5"/>
    <w:rsid w:val="00BF541F"/>
    <w:rsid w:val="00BF5960"/>
    <w:rsid w:val="00BF5A51"/>
    <w:rsid w:val="00BF5A84"/>
    <w:rsid w:val="00BF5D78"/>
    <w:rsid w:val="00BF5F58"/>
    <w:rsid w:val="00BF66B3"/>
    <w:rsid w:val="00BF6A30"/>
    <w:rsid w:val="00BF6B65"/>
    <w:rsid w:val="00BF6FAC"/>
    <w:rsid w:val="00BF75F6"/>
    <w:rsid w:val="00BF7648"/>
    <w:rsid w:val="00BF76F8"/>
    <w:rsid w:val="00BF77D6"/>
    <w:rsid w:val="00BF7B7B"/>
    <w:rsid w:val="00BF7E01"/>
    <w:rsid w:val="00C005FA"/>
    <w:rsid w:val="00C0070B"/>
    <w:rsid w:val="00C009AC"/>
    <w:rsid w:val="00C00D15"/>
    <w:rsid w:val="00C00E81"/>
    <w:rsid w:val="00C00F9E"/>
    <w:rsid w:val="00C01044"/>
    <w:rsid w:val="00C01587"/>
    <w:rsid w:val="00C0167A"/>
    <w:rsid w:val="00C01774"/>
    <w:rsid w:val="00C020D0"/>
    <w:rsid w:val="00C02176"/>
    <w:rsid w:val="00C026F1"/>
    <w:rsid w:val="00C027D7"/>
    <w:rsid w:val="00C0302F"/>
    <w:rsid w:val="00C032BC"/>
    <w:rsid w:val="00C035FE"/>
    <w:rsid w:val="00C0396C"/>
    <w:rsid w:val="00C03BCC"/>
    <w:rsid w:val="00C03F39"/>
    <w:rsid w:val="00C03FA6"/>
    <w:rsid w:val="00C0412D"/>
    <w:rsid w:val="00C0420C"/>
    <w:rsid w:val="00C04AD1"/>
    <w:rsid w:val="00C058BC"/>
    <w:rsid w:val="00C05CD8"/>
    <w:rsid w:val="00C05D95"/>
    <w:rsid w:val="00C0601D"/>
    <w:rsid w:val="00C06773"/>
    <w:rsid w:val="00C06D10"/>
    <w:rsid w:val="00C06F83"/>
    <w:rsid w:val="00C071B2"/>
    <w:rsid w:val="00C07252"/>
    <w:rsid w:val="00C079C2"/>
    <w:rsid w:val="00C07BEA"/>
    <w:rsid w:val="00C07EEE"/>
    <w:rsid w:val="00C10458"/>
    <w:rsid w:val="00C1080F"/>
    <w:rsid w:val="00C1096D"/>
    <w:rsid w:val="00C10D43"/>
    <w:rsid w:val="00C1156F"/>
    <w:rsid w:val="00C11617"/>
    <w:rsid w:val="00C1173B"/>
    <w:rsid w:val="00C11882"/>
    <w:rsid w:val="00C11A5F"/>
    <w:rsid w:val="00C11AD0"/>
    <w:rsid w:val="00C11D27"/>
    <w:rsid w:val="00C12387"/>
    <w:rsid w:val="00C123E8"/>
    <w:rsid w:val="00C123F7"/>
    <w:rsid w:val="00C12A9D"/>
    <w:rsid w:val="00C12AFF"/>
    <w:rsid w:val="00C12BE0"/>
    <w:rsid w:val="00C130BD"/>
    <w:rsid w:val="00C13773"/>
    <w:rsid w:val="00C13A80"/>
    <w:rsid w:val="00C13EBD"/>
    <w:rsid w:val="00C146AC"/>
    <w:rsid w:val="00C14883"/>
    <w:rsid w:val="00C14C2A"/>
    <w:rsid w:val="00C14C7F"/>
    <w:rsid w:val="00C14EAA"/>
    <w:rsid w:val="00C153DB"/>
    <w:rsid w:val="00C15645"/>
    <w:rsid w:val="00C1569C"/>
    <w:rsid w:val="00C158DD"/>
    <w:rsid w:val="00C15B99"/>
    <w:rsid w:val="00C16012"/>
    <w:rsid w:val="00C16130"/>
    <w:rsid w:val="00C16276"/>
    <w:rsid w:val="00C162F0"/>
    <w:rsid w:val="00C163AF"/>
    <w:rsid w:val="00C166B2"/>
    <w:rsid w:val="00C16904"/>
    <w:rsid w:val="00C16F9B"/>
    <w:rsid w:val="00C17150"/>
    <w:rsid w:val="00C17227"/>
    <w:rsid w:val="00C1750D"/>
    <w:rsid w:val="00C176CC"/>
    <w:rsid w:val="00C176F1"/>
    <w:rsid w:val="00C179A3"/>
    <w:rsid w:val="00C17A72"/>
    <w:rsid w:val="00C17BDD"/>
    <w:rsid w:val="00C17D75"/>
    <w:rsid w:val="00C17DF7"/>
    <w:rsid w:val="00C20087"/>
    <w:rsid w:val="00C20134"/>
    <w:rsid w:val="00C20250"/>
    <w:rsid w:val="00C2052C"/>
    <w:rsid w:val="00C20859"/>
    <w:rsid w:val="00C20A0A"/>
    <w:rsid w:val="00C210C7"/>
    <w:rsid w:val="00C211DB"/>
    <w:rsid w:val="00C212D0"/>
    <w:rsid w:val="00C21540"/>
    <w:rsid w:val="00C2194C"/>
    <w:rsid w:val="00C21C16"/>
    <w:rsid w:val="00C21D58"/>
    <w:rsid w:val="00C21D90"/>
    <w:rsid w:val="00C21DD8"/>
    <w:rsid w:val="00C21DEC"/>
    <w:rsid w:val="00C21FF3"/>
    <w:rsid w:val="00C223CE"/>
    <w:rsid w:val="00C2253D"/>
    <w:rsid w:val="00C22D7E"/>
    <w:rsid w:val="00C22E15"/>
    <w:rsid w:val="00C22E9E"/>
    <w:rsid w:val="00C230E7"/>
    <w:rsid w:val="00C233FE"/>
    <w:rsid w:val="00C23450"/>
    <w:rsid w:val="00C23862"/>
    <w:rsid w:val="00C23C4A"/>
    <w:rsid w:val="00C23D82"/>
    <w:rsid w:val="00C240C3"/>
    <w:rsid w:val="00C242D7"/>
    <w:rsid w:val="00C243BD"/>
    <w:rsid w:val="00C24597"/>
    <w:rsid w:val="00C247E4"/>
    <w:rsid w:val="00C2481B"/>
    <w:rsid w:val="00C249F0"/>
    <w:rsid w:val="00C24BED"/>
    <w:rsid w:val="00C24C1B"/>
    <w:rsid w:val="00C24D78"/>
    <w:rsid w:val="00C25A74"/>
    <w:rsid w:val="00C25CFD"/>
    <w:rsid w:val="00C25D92"/>
    <w:rsid w:val="00C26A39"/>
    <w:rsid w:val="00C26C0F"/>
    <w:rsid w:val="00C26D97"/>
    <w:rsid w:val="00C2768F"/>
    <w:rsid w:val="00C27AB5"/>
    <w:rsid w:val="00C27FAA"/>
    <w:rsid w:val="00C30364"/>
    <w:rsid w:val="00C3046F"/>
    <w:rsid w:val="00C307C3"/>
    <w:rsid w:val="00C30A01"/>
    <w:rsid w:val="00C30B39"/>
    <w:rsid w:val="00C30C78"/>
    <w:rsid w:val="00C30CA4"/>
    <w:rsid w:val="00C30E3E"/>
    <w:rsid w:val="00C31482"/>
    <w:rsid w:val="00C3148B"/>
    <w:rsid w:val="00C31917"/>
    <w:rsid w:val="00C31B68"/>
    <w:rsid w:val="00C32114"/>
    <w:rsid w:val="00C322FB"/>
    <w:rsid w:val="00C32377"/>
    <w:rsid w:val="00C3263F"/>
    <w:rsid w:val="00C32750"/>
    <w:rsid w:val="00C3288F"/>
    <w:rsid w:val="00C32E1B"/>
    <w:rsid w:val="00C32E3A"/>
    <w:rsid w:val="00C32E89"/>
    <w:rsid w:val="00C32E8B"/>
    <w:rsid w:val="00C33151"/>
    <w:rsid w:val="00C335C7"/>
    <w:rsid w:val="00C33909"/>
    <w:rsid w:val="00C339D6"/>
    <w:rsid w:val="00C33CA8"/>
    <w:rsid w:val="00C33F04"/>
    <w:rsid w:val="00C3468D"/>
    <w:rsid w:val="00C34720"/>
    <w:rsid w:val="00C347C4"/>
    <w:rsid w:val="00C347F6"/>
    <w:rsid w:val="00C3492F"/>
    <w:rsid w:val="00C34FFA"/>
    <w:rsid w:val="00C35151"/>
    <w:rsid w:val="00C35357"/>
    <w:rsid w:val="00C35453"/>
    <w:rsid w:val="00C35457"/>
    <w:rsid w:val="00C3591C"/>
    <w:rsid w:val="00C359E8"/>
    <w:rsid w:val="00C35D2E"/>
    <w:rsid w:val="00C36220"/>
    <w:rsid w:val="00C363E3"/>
    <w:rsid w:val="00C365A3"/>
    <w:rsid w:val="00C36741"/>
    <w:rsid w:val="00C369AB"/>
    <w:rsid w:val="00C36A12"/>
    <w:rsid w:val="00C36AD9"/>
    <w:rsid w:val="00C370F6"/>
    <w:rsid w:val="00C377CA"/>
    <w:rsid w:val="00C37803"/>
    <w:rsid w:val="00C37CD4"/>
    <w:rsid w:val="00C37CE2"/>
    <w:rsid w:val="00C37DA1"/>
    <w:rsid w:val="00C4088F"/>
    <w:rsid w:val="00C40B78"/>
    <w:rsid w:val="00C414A2"/>
    <w:rsid w:val="00C42256"/>
    <w:rsid w:val="00C42376"/>
    <w:rsid w:val="00C423D9"/>
    <w:rsid w:val="00C4292F"/>
    <w:rsid w:val="00C436D9"/>
    <w:rsid w:val="00C43A5A"/>
    <w:rsid w:val="00C43F5F"/>
    <w:rsid w:val="00C44CB7"/>
    <w:rsid w:val="00C44DC9"/>
    <w:rsid w:val="00C44EA7"/>
    <w:rsid w:val="00C452E7"/>
    <w:rsid w:val="00C4544E"/>
    <w:rsid w:val="00C454B8"/>
    <w:rsid w:val="00C45730"/>
    <w:rsid w:val="00C459CB"/>
    <w:rsid w:val="00C45C7A"/>
    <w:rsid w:val="00C46183"/>
    <w:rsid w:val="00C463BD"/>
    <w:rsid w:val="00C46834"/>
    <w:rsid w:val="00C469E8"/>
    <w:rsid w:val="00C46C4A"/>
    <w:rsid w:val="00C47077"/>
    <w:rsid w:val="00C471A0"/>
    <w:rsid w:val="00C47392"/>
    <w:rsid w:val="00C474DE"/>
    <w:rsid w:val="00C475AB"/>
    <w:rsid w:val="00C47636"/>
    <w:rsid w:val="00C4763F"/>
    <w:rsid w:val="00C47C04"/>
    <w:rsid w:val="00C47C67"/>
    <w:rsid w:val="00C5007F"/>
    <w:rsid w:val="00C505E0"/>
    <w:rsid w:val="00C514C5"/>
    <w:rsid w:val="00C51E2B"/>
    <w:rsid w:val="00C51F4F"/>
    <w:rsid w:val="00C5224F"/>
    <w:rsid w:val="00C522EA"/>
    <w:rsid w:val="00C52914"/>
    <w:rsid w:val="00C529B9"/>
    <w:rsid w:val="00C52B75"/>
    <w:rsid w:val="00C52E96"/>
    <w:rsid w:val="00C5342A"/>
    <w:rsid w:val="00C5348E"/>
    <w:rsid w:val="00C53AC4"/>
    <w:rsid w:val="00C53EB6"/>
    <w:rsid w:val="00C5400C"/>
    <w:rsid w:val="00C542AF"/>
    <w:rsid w:val="00C5491C"/>
    <w:rsid w:val="00C54A44"/>
    <w:rsid w:val="00C54ED5"/>
    <w:rsid w:val="00C552DC"/>
    <w:rsid w:val="00C558D4"/>
    <w:rsid w:val="00C55A7C"/>
    <w:rsid w:val="00C55E34"/>
    <w:rsid w:val="00C56ADA"/>
    <w:rsid w:val="00C56C17"/>
    <w:rsid w:val="00C56C81"/>
    <w:rsid w:val="00C56CAE"/>
    <w:rsid w:val="00C5707B"/>
    <w:rsid w:val="00C5711C"/>
    <w:rsid w:val="00C571D6"/>
    <w:rsid w:val="00C5775C"/>
    <w:rsid w:val="00C57C86"/>
    <w:rsid w:val="00C57D39"/>
    <w:rsid w:val="00C57F41"/>
    <w:rsid w:val="00C57F79"/>
    <w:rsid w:val="00C60525"/>
    <w:rsid w:val="00C60C26"/>
    <w:rsid w:val="00C611C2"/>
    <w:rsid w:val="00C613CC"/>
    <w:rsid w:val="00C61F4B"/>
    <w:rsid w:val="00C62387"/>
    <w:rsid w:val="00C623D2"/>
    <w:rsid w:val="00C6243F"/>
    <w:rsid w:val="00C6252B"/>
    <w:rsid w:val="00C62884"/>
    <w:rsid w:val="00C62BE3"/>
    <w:rsid w:val="00C62D1F"/>
    <w:rsid w:val="00C62DBE"/>
    <w:rsid w:val="00C62E96"/>
    <w:rsid w:val="00C62F0C"/>
    <w:rsid w:val="00C62F65"/>
    <w:rsid w:val="00C633AD"/>
    <w:rsid w:val="00C633C8"/>
    <w:rsid w:val="00C6362F"/>
    <w:rsid w:val="00C63AA7"/>
    <w:rsid w:val="00C63B52"/>
    <w:rsid w:val="00C63D60"/>
    <w:rsid w:val="00C63DFD"/>
    <w:rsid w:val="00C63F68"/>
    <w:rsid w:val="00C64250"/>
    <w:rsid w:val="00C647CB"/>
    <w:rsid w:val="00C64BB4"/>
    <w:rsid w:val="00C64C06"/>
    <w:rsid w:val="00C64EE2"/>
    <w:rsid w:val="00C652F5"/>
    <w:rsid w:val="00C65443"/>
    <w:rsid w:val="00C65486"/>
    <w:rsid w:val="00C654AB"/>
    <w:rsid w:val="00C65643"/>
    <w:rsid w:val="00C65B12"/>
    <w:rsid w:val="00C65CDB"/>
    <w:rsid w:val="00C661EF"/>
    <w:rsid w:val="00C66302"/>
    <w:rsid w:val="00C66344"/>
    <w:rsid w:val="00C66520"/>
    <w:rsid w:val="00C667CF"/>
    <w:rsid w:val="00C66896"/>
    <w:rsid w:val="00C6755A"/>
    <w:rsid w:val="00C67805"/>
    <w:rsid w:val="00C67D00"/>
    <w:rsid w:val="00C701A9"/>
    <w:rsid w:val="00C70304"/>
    <w:rsid w:val="00C70713"/>
    <w:rsid w:val="00C70CC2"/>
    <w:rsid w:val="00C70E75"/>
    <w:rsid w:val="00C70F25"/>
    <w:rsid w:val="00C71342"/>
    <w:rsid w:val="00C71B4F"/>
    <w:rsid w:val="00C71EE0"/>
    <w:rsid w:val="00C71F77"/>
    <w:rsid w:val="00C72220"/>
    <w:rsid w:val="00C72390"/>
    <w:rsid w:val="00C723CD"/>
    <w:rsid w:val="00C723EE"/>
    <w:rsid w:val="00C72444"/>
    <w:rsid w:val="00C724B4"/>
    <w:rsid w:val="00C726BF"/>
    <w:rsid w:val="00C72A47"/>
    <w:rsid w:val="00C7314B"/>
    <w:rsid w:val="00C73233"/>
    <w:rsid w:val="00C73678"/>
    <w:rsid w:val="00C7370B"/>
    <w:rsid w:val="00C73942"/>
    <w:rsid w:val="00C73BC8"/>
    <w:rsid w:val="00C73F24"/>
    <w:rsid w:val="00C74118"/>
    <w:rsid w:val="00C74241"/>
    <w:rsid w:val="00C7452E"/>
    <w:rsid w:val="00C74661"/>
    <w:rsid w:val="00C74A8D"/>
    <w:rsid w:val="00C74D90"/>
    <w:rsid w:val="00C74E2B"/>
    <w:rsid w:val="00C74E2C"/>
    <w:rsid w:val="00C750E7"/>
    <w:rsid w:val="00C75250"/>
    <w:rsid w:val="00C756FC"/>
    <w:rsid w:val="00C759BD"/>
    <w:rsid w:val="00C75A3B"/>
    <w:rsid w:val="00C75CC4"/>
    <w:rsid w:val="00C760C7"/>
    <w:rsid w:val="00C7649C"/>
    <w:rsid w:val="00C76AC1"/>
    <w:rsid w:val="00C76E56"/>
    <w:rsid w:val="00C76EB6"/>
    <w:rsid w:val="00C76EE8"/>
    <w:rsid w:val="00C77162"/>
    <w:rsid w:val="00C7747C"/>
    <w:rsid w:val="00C774CA"/>
    <w:rsid w:val="00C775BF"/>
    <w:rsid w:val="00C77676"/>
    <w:rsid w:val="00C77ADF"/>
    <w:rsid w:val="00C77B11"/>
    <w:rsid w:val="00C802B8"/>
    <w:rsid w:val="00C802E4"/>
    <w:rsid w:val="00C80522"/>
    <w:rsid w:val="00C8074D"/>
    <w:rsid w:val="00C80833"/>
    <w:rsid w:val="00C80D2B"/>
    <w:rsid w:val="00C819BD"/>
    <w:rsid w:val="00C81EC4"/>
    <w:rsid w:val="00C8255D"/>
    <w:rsid w:val="00C826D0"/>
    <w:rsid w:val="00C82846"/>
    <w:rsid w:val="00C82BCC"/>
    <w:rsid w:val="00C82C0F"/>
    <w:rsid w:val="00C82FEC"/>
    <w:rsid w:val="00C83138"/>
    <w:rsid w:val="00C83326"/>
    <w:rsid w:val="00C8339D"/>
    <w:rsid w:val="00C83EFE"/>
    <w:rsid w:val="00C842FA"/>
    <w:rsid w:val="00C84839"/>
    <w:rsid w:val="00C848B6"/>
    <w:rsid w:val="00C84ADB"/>
    <w:rsid w:val="00C84E03"/>
    <w:rsid w:val="00C85095"/>
    <w:rsid w:val="00C850BA"/>
    <w:rsid w:val="00C85387"/>
    <w:rsid w:val="00C8580E"/>
    <w:rsid w:val="00C85881"/>
    <w:rsid w:val="00C859BD"/>
    <w:rsid w:val="00C859E4"/>
    <w:rsid w:val="00C85CB7"/>
    <w:rsid w:val="00C85F54"/>
    <w:rsid w:val="00C86005"/>
    <w:rsid w:val="00C860EF"/>
    <w:rsid w:val="00C863EF"/>
    <w:rsid w:val="00C86865"/>
    <w:rsid w:val="00C8706A"/>
    <w:rsid w:val="00C870CC"/>
    <w:rsid w:val="00C872F8"/>
    <w:rsid w:val="00C87AC1"/>
    <w:rsid w:val="00C87AF3"/>
    <w:rsid w:val="00C87CC3"/>
    <w:rsid w:val="00C87F45"/>
    <w:rsid w:val="00C900B4"/>
    <w:rsid w:val="00C901AB"/>
    <w:rsid w:val="00C9046D"/>
    <w:rsid w:val="00C904ED"/>
    <w:rsid w:val="00C90703"/>
    <w:rsid w:val="00C90984"/>
    <w:rsid w:val="00C909D5"/>
    <w:rsid w:val="00C90D5B"/>
    <w:rsid w:val="00C90E51"/>
    <w:rsid w:val="00C91031"/>
    <w:rsid w:val="00C915C9"/>
    <w:rsid w:val="00C9191C"/>
    <w:rsid w:val="00C91A78"/>
    <w:rsid w:val="00C91D2E"/>
    <w:rsid w:val="00C929C6"/>
    <w:rsid w:val="00C92A95"/>
    <w:rsid w:val="00C93109"/>
    <w:rsid w:val="00C9365A"/>
    <w:rsid w:val="00C93C86"/>
    <w:rsid w:val="00C9408D"/>
    <w:rsid w:val="00C94299"/>
    <w:rsid w:val="00C94300"/>
    <w:rsid w:val="00C94550"/>
    <w:rsid w:val="00C94951"/>
    <w:rsid w:val="00C94972"/>
    <w:rsid w:val="00C94AF5"/>
    <w:rsid w:val="00C94C7A"/>
    <w:rsid w:val="00C94F02"/>
    <w:rsid w:val="00C954C4"/>
    <w:rsid w:val="00C955EB"/>
    <w:rsid w:val="00C95F18"/>
    <w:rsid w:val="00C9653B"/>
    <w:rsid w:val="00C9667D"/>
    <w:rsid w:val="00C96728"/>
    <w:rsid w:val="00C96983"/>
    <w:rsid w:val="00C969C7"/>
    <w:rsid w:val="00C96B3D"/>
    <w:rsid w:val="00C96F80"/>
    <w:rsid w:val="00C97087"/>
    <w:rsid w:val="00C97249"/>
    <w:rsid w:val="00C9726B"/>
    <w:rsid w:val="00C975D1"/>
    <w:rsid w:val="00C9778E"/>
    <w:rsid w:val="00C97883"/>
    <w:rsid w:val="00C97E07"/>
    <w:rsid w:val="00CA0277"/>
    <w:rsid w:val="00CA0550"/>
    <w:rsid w:val="00CA0908"/>
    <w:rsid w:val="00CA0C8A"/>
    <w:rsid w:val="00CA0E08"/>
    <w:rsid w:val="00CA10FF"/>
    <w:rsid w:val="00CA158B"/>
    <w:rsid w:val="00CA15F3"/>
    <w:rsid w:val="00CA1709"/>
    <w:rsid w:val="00CA1ACE"/>
    <w:rsid w:val="00CA1F12"/>
    <w:rsid w:val="00CA225C"/>
    <w:rsid w:val="00CA232E"/>
    <w:rsid w:val="00CA24FE"/>
    <w:rsid w:val="00CA2620"/>
    <w:rsid w:val="00CA269B"/>
    <w:rsid w:val="00CA26DE"/>
    <w:rsid w:val="00CA2783"/>
    <w:rsid w:val="00CA2D1C"/>
    <w:rsid w:val="00CA2FEB"/>
    <w:rsid w:val="00CA3074"/>
    <w:rsid w:val="00CA330F"/>
    <w:rsid w:val="00CA364C"/>
    <w:rsid w:val="00CA3D95"/>
    <w:rsid w:val="00CA43CF"/>
    <w:rsid w:val="00CA44E5"/>
    <w:rsid w:val="00CA4575"/>
    <w:rsid w:val="00CA46BD"/>
    <w:rsid w:val="00CA4814"/>
    <w:rsid w:val="00CA499D"/>
    <w:rsid w:val="00CA4D55"/>
    <w:rsid w:val="00CA4DC0"/>
    <w:rsid w:val="00CA5310"/>
    <w:rsid w:val="00CA536F"/>
    <w:rsid w:val="00CA5478"/>
    <w:rsid w:val="00CA56D1"/>
    <w:rsid w:val="00CA57FB"/>
    <w:rsid w:val="00CA5834"/>
    <w:rsid w:val="00CA5C9E"/>
    <w:rsid w:val="00CA5D1A"/>
    <w:rsid w:val="00CA5E04"/>
    <w:rsid w:val="00CA6062"/>
    <w:rsid w:val="00CA6259"/>
    <w:rsid w:val="00CA6407"/>
    <w:rsid w:val="00CA6409"/>
    <w:rsid w:val="00CA6523"/>
    <w:rsid w:val="00CA65CB"/>
    <w:rsid w:val="00CA66B3"/>
    <w:rsid w:val="00CA66CD"/>
    <w:rsid w:val="00CA6C30"/>
    <w:rsid w:val="00CA6CF1"/>
    <w:rsid w:val="00CA6E34"/>
    <w:rsid w:val="00CA6F4B"/>
    <w:rsid w:val="00CA7415"/>
    <w:rsid w:val="00CA74E6"/>
    <w:rsid w:val="00CA7814"/>
    <w:rsid w:val="00CA785C"/>
    <w:rsid w:val="00CA7C71"/>
    <w:rsid w:val="00CB081D"/>
    <w:rsid w:val="00CB0899"/>
    <w:rsid w:val="00CB0ECB"/>
    <w:rsid w:val="00CB0F26"/>
    <w:rsid w:val="00CB1117"/>
    <w:rsid w:val="00CB1A9C"/>
    <w:rsid w:val="00CB1C7E"/>
    <w:rsid w:val="00CB1F3D"/>
    <w:rsid w:val="00CB1FD7"/>
    <w:rsid w:val="00CB22DA"/>
    <w:rsid w:val="00CB305F"/>
    <w:rsid w:val="00CB356C"/>
    <w:rsid w:val="00CB38F0"/>
    <w:rsid w:val="00CB38F4"/>
    <w:rsid w:val="00CB3EB2"/>
    <w:rsid w:val="00CB3ED3"/>
    <w:rsid w:val="00CB3F0A"/>
    <w:rsid w:val="00CB3F95"/>
    <w:rsid w:val="00CB4382"/>
    <w:rsid w:val="00CB4438"/>
    <w:rsid w:val="00CB4BC0"/>
    <w:rsid w:val="00CB4E2A"/>
    <w:rsid w:val="00CB4F43"/>
    <w:rsid w:val="00CB4FCF"/>
    <w:rsid w:val="00CB53DD"/>
    <w:rsid w:val="00CB5989"/>
    <w:rsid w:val="00CB5BD7"/>
    <w:rsid w:val="00CB643C"/>
    <w:rsid w:val="00CB66C2"/>
    <w:rsid w:val="00CB6901"/>
    <w:rsid w:val="00CB69AF"/>
    <w:rsid w:val="00CB79F2"/>
    <w:rsid w:val="00CB7B1E"/>
    <w:rsid w:val="00CB7C7D"/>
    <w:rsid w:val="00CB7DB0"/>
    <w:rsid w:val="00CC00A9"/>
    <w:rsid w:val="00CC037C"/>
    <w:rsid w:val="00CC0770"/>
    <w:rsid w:val="00CC0AD8"/>
    <w:rsid w:val="00CC0BBF"/>
    <w:rsid w:val="00CC0BE3"/>
    <w:rsid w:val="00CC11A1"/>
    <w:rsid w:val="00CC1284"/>
    <w:rsid w:val="00CC1325"/>
    <w:rsid w:val="00CC1519"/>
    <w:rsid w:val="00CC15DF"/>
    <w:rsid w:val="00CC1603"/>
    <w:rsid w:val="00CC162E"/>
    <w:rsid w:val="00CC16A5"/>
    <w:rsid w:val="00CC1795"/>
    <w:rsid w:val="00CC1A97"/>
    <w:rsid w:val="00CC1CD4"/>
    <w:rsid w:val="00CC2003"/>
    <w:rsid w:val="00CC2192"/>
    <w:rsid w:val="00CC2214"/>
    <w:rsid w:val="00CC23BB"/>
    <w:rsid w:val="00CC2887"/>
    <w:rsid w:val="00CC2902"/>
    <w:rsid w:val="00CC2932"/>
    <w:rsid w:val="00CC2FE8"/>
    <w:rsid w:val="00CC3398"/>
    <w:rsid w:val="00CC35B7"/>
    <w:rsid w:val="00CC3B85"/>
    <w:rsid w:val="00CC411D"/>
    <w:rsid w:val="00CC439C"/>
    <w:rsid w:val="00CC440C"/>
    <w:rsid w:val="00CC446B"/>
    <w:rsid w:val="00CC468F"/>
    <w:rsid w:val="00CC496F"/>
    <w:rsid w:val="00CC4AEA"/>
    <w:rsid w:val="00CC4CCC"/>
    <w:rsid w:val="00CC4D06"/>
    <w:rsid w:val="00CC521A"/>
    <w:rsid w:val="00CC5406"/>
    <w:rsid w:val="00CC5BA2"/>
    <w:rsid w:val="00CC5D15"/>
    <w:rsid w:val="00CC5D8C"/>
    <w:rsid w:val="00CC5FFD"/>
    <w:rsid w:val="00CC655A"/>
    <w:rsid w:val="00CC67FC"/>
    <w:rsid w:val="00CC6877"/>
    <w:rsid w:val="00CC6B26"/>
    <w:rsid w:val="00CC6C95"/>
    <w:rsid w:val="00CC7106"/>
    <w:rsid w:val="00CC712A"/>
    <w:rsid w:val="00CC78C9"/>
    <w:rsid w:val="00CC7ADA"/>
    <w:rsid w:val="00CC7BB1"/>
    <w:rsid w:val="00CD007D"/>
    <w:rsid w:val="00CD053E"/>
    <w:rsid w:val="00CD0E98"/>
    <w:rsid w:val="00CD116E"/>
    <w:rsid w:val="00CD11D2"/>
    <w:rsid w:val="00CD1582"/>
    <w:rsid w:val="00CD1A7F"/>
    <w:rsid w:val="00CD20BB"/>
    <w:rsid w:val="00CD2139"/>
    <w:rsid w:val="00CD2803"/>
    <w:rsid w:val="00CD29BE"/>
    <w:rsid w:val="00CD2A3C"/>
    <w:rsid w:val="00CD339B"/>
    <w:rsid w:val="00CD3A3F"/>
    <w:rsid w:val="00CD42A0"/>
    <w:rsid w:val="00CD42AB"/>
    <w:rsid w:val="00CD4476"/>
    <w:rsid w:val="00CD469E"/>
    <w:rsid w:val="00CD4756"/>
    <w:rsid w:val="00CD48D5"/>
    <w:rsid w:val="00CD4916"/>
    <w:rsid w:val="00CD4E79"/>
    <w:rsid w:val="00CD527C"/>
    <w:rsid w:val="00CD5DEC"/>
    <w:rsid w:val="00CD5E13"/>
    <w:rsid w:val="00CD5FE4"/>
    <w:rsid w:val="00CD60B4"/>
    <w:rsid w:val="00CD6327"/>
    <w:rsid w:val="00CD632B"/>
    <w:rsid w:val="00CD63E1"/>
    <w:rsid w:val="00CD6651"/>
    <w:rsid w:val="00CD6896"/>
    <w:rsid w:val="00CD69E0"/>
    <w:rsid w:val="00CD6BF9"/>
    <w:rsid w:val="00CD7814"/>
    <w:rsid w:val="00CD79AA"/>
    <w:rsid w:val="00CD79BE"/>
    <w:rsid w:val="00CD7F0A"/>
    <w:rsid w:val="00CE0860"/>
    <w:rsid w:val="00CE0C67"/>
    <w:rsid w:val="00CE0E71"/>
    <w:rsid w:val="00CE10FA"/>
    <w:rsid w:val="00CE1298"/>
    <w:rsid w:val="00CE1596"/>
    <w:rsid w:val="00CE1841"/>
    <w:rsid w:val="00CE18E2"/>
    <w:rsid w:val="00CE1C86"/>
    <w:rsid w:val="00CE2181"/>
    <w:rsid w:val="00CE2A50"/>
    <w:rsid w:val="00CE2B9B"/>
    <w:rsid w:val="00CE3167"/>
    <w:rsid w:val="00CE351F"/>
    <w:rsid w:val="00CE353E"/>
    <w:rsid w:val="00CE37FE"/>
    <w:rsid w:val="00CE3B6B"/>
    <w:rsid w:val="00CE408C"/>
    <w:rsid w:val="00CE429D"/>
    <w:rsid w:val="00CE42A6"/>
    <w:rsid w:val="00CE443C"/>
    <w:rsid w:val="00CE48D4"/>
    <w:rsid w:val="00CE4902"/>
    <w:rsid w:val="00CE4AF0"/>
    <w:rsid w:val="00CE4B9F"/>
    <w:rsid w:val="00CE4BA2"/>
    <w:rsid w:val="00CE4F14"/>
    <w:rsid w:val="00CE575C"/>
    <w:rsid w:val="00CE6764"/>
    <w:rsid w:val="00CE68BC"/>
    <w:rsid w:val="00CE6A7C"/>
    <w:rsid w:val="00CE72E4"/>
    <w:rsid w:val="00CE7479"/>
    <w:rsid w:val="00CE7776"/>
    <w:rsid w:val="00CF0019"/>
    <w:rsid w:val="00CF001A"/>
    <w:rsid w:val="00CF0171"/>
    <w:rsid w:val="00CF05A4"/>
    <w:rsid w:val="00CF0969"/>
    <w:rsid w:val="00CF0AAB"/>
    <w:rsid w:val="00CF0EF2"/>
    <w:rsid w:val="00CF102A"/>
    <w:rsid w:val="00CF10F9"/>
    <w:rsid w:val="00CF1330"/>
    <w:rsid w:val="00CF1434"/>
    <w:rsid w:val="00CF1459"/>
    <w:rsid w:val="00CF1770"/>
    <w:rsid w:val="00CF1B0D"/>
    <w:rsid w:val="00CF1B8B"/>
    <w:rsid w:val="00CF1C07"/>
    <w:rsid w:val="00CF1D5F"/>
    <w:rsid w:val="00CF207D"/>
    <w:rsid w:val="00CF232A"/>
    <w:rsid w:val="00CF233C"/>
    <w:rsid w:val="00CF23F5"/>
    <w:rsid w:val="00CF23F8"/>
    <w:rsid w:val="00CF26D7"/>
    <w:rsid w:val="00CF2AE4"/>
    <w:rsid w:val="00CF2D1E"/>
    <w:rsid w:val="00CF2D9E"/>
    <w:rsid w:val="00CF32A5"/>
    <w:rsid w:val="00CF3383"/>
    <w:rsid w:val="00CF33C9"/>
    <w:rsid w:val="00CF3459"/>
    <w:rsid w:val="00CF3557"/>
    <w:rsid w:val="00CF3576"/>
    <w:rsid w:val="00CF3719"/>
    <w:rsid w:val="00CF3737"/>
    <w:rsid w:val="00CF3C1D"/>
    <w:rsid w:val="00CF3EE0"/>
    <w:rsid w:val="00CF41DD"/>
    <w:rsid w:val="00CF43EA"/>
    <w:rsid w:val="00CF44AB"/>
    <w:rsid w:val="00CF491D"/>
    <w:rsid w:val="00CF49B6"/>
    <w:rsid w:val="00CF4E0A"/>
    <w:rsid w:val="00CF5079"/>
    <w:rsid w:val="00CF544C"/>
    <w:rsid w:val="00CF5639"/>
    <w:rsid w:val="00CF59F0"/>
    <w:rsid w:val="00CF5C22"/>
    <w:rsid w:val="00CF5F22"/>
    <w:rsid w:val="00CF5F9E"/>
    <w:rsid w:val="00CF6333"/>
    <w:rsid w:val="00CF67D1"/>
    <w:rsid w:val="00CF698F"/>
    <w:rsid w:val="00CF6A6E"/>
    <w:rsid w:val="00CF6F55"/>
    <w:rsid w:val="00CF7070"/>
    <w:rsid w:val="00CF7590"/>
    <w:rsid w:val="00CF77BD"/>
    <w:rsid w:val="00CF791A"/>
    <w:rsid w:val="00D00018"/>
    <w:rsid w:val="00D00235"/>
    <w:rsid w:val="00D0129C"/>
    <w:rsid w:val="00D012A7"/>
    <w:rsid w:val="00D0148F"/>
    <w:rsid w:val="00D01A92"/>
    <w:rsid w:val="00D01A96"/>
    <w:rsid w:val="00D01BA9"/>
    <w:rsid w:val="00D01CCB"/>
    <w:rsid w:val="00D01EAB"/>
    <w:rsid w:val="00D02088"/>
    <w:rsid w:val="00D026BE"/>
    <w:rsid w:val="00D0293C"/>
    <w:rsid w:val="00D02C0B"/>
    <w:rsid w:val="00D02E54"/>
    <w:rsid w:val="00D02F45"/>
    <w:rsid w:val="00D032FE"/>
    <w:rsid w:val="00D037B3"/>
    <w:rsid w:val="00D03812"/>
    <w:rsid w:val="00D039D7"/>
    <w:rsid w:val="00D03A6D"/>
    <w:rsid w:val="00D03AC8"/>
    <w:rsid w:val="00D03D99"/>
    <w:rsid w:val="00D0412B"/>
    <w:rsid w:val="00D04D74"/>
    <w:rsid w:val="00D0502B"/>
    <w:rsid w:val="00D0531B"/>
    <w:rsid w:val="00D0561B"/>
    <w:rsid w:val="00D05E9F"/>
    <w:rsid w:val="00D05EB8"/>
    <w:rsid w:val="00D05FFA"/>
    <w:rsid w:val="00D066B9"/>
    <w:rsid w:val="00D06916"/>
    <w:rsid w:val="00D06C18"/>
    <w:rsid w:val="00D06C36"/>
    <w:rsid w:val="00D06EEE"/>
    <w:rsid w:val="00D07570"/>
    <w:rsid w:val="00D07666"/>
    <w:rsid w:val="00D077D4"/>
    <w:rsid w:val="00D07E55"/>
    <w:rsid w:val="00D10172"/>
    <w:rsid w:val="00D10513"/>
    <w:rsid w:val="00D10695"/>
    <w:rsid w:val="00D10C49"/>
    <w:rsid w:val="00D1179B"/>
    <w:rsid w:val="00D11975"/>
    <w:rsid w:val="00D11AA8"/>
    <w:rsid w:val="00D11B25"/>
    <w:rsid w:val="00D11C57"/>
    <w:rsid w:val="00D11DD4"/>
    <w:rsid w:val="00D1206F"/>
    <w:rsid w:val="00D12467"/>
    <w:rsid w:val="00D12F8E"/>
    <w:rsid w:val="00D13367"/>
    <w:rsid w:val="00D1378D"/>
    <w:rsid w:val="00D1391A"/>
    <w:rsid w:val="00D1395A"/>
    <w:rsid w:val="00D13D88"/>
    <w:rsid w:val="00D14237"/>
    <w:rsid w:val="00D14BA2"/>
    <w:rsid w:val="00D150B0"/>
    <w:rsid w:val="00D1529B"/>
    <w:rsid w:val="00D152EC"/>
    <w:rsid w:val="00D156BF"/>
    <w:rsid w:val="00D156C1"/>
    <w:rsid w:val="00D156F0"/>
    <w:rsid w:val="00D1572C"/>
    <w:rsid w:val="00D15820"/>
    <w:rsid w:val="00D15A31"/>
    <w:rsid w:val="00D15B17"/>
    <w:rsid w:val="00D15F0E"/>
    <w:rsid w:val="00D1645C"/>
    <w:rsid w:val="00D1672D"/>
    <w:rsid w:val="00D16B2E"/>
    <w:rsid w:val="00D16BC7"/>
    <w:rsid w:val="00D16D5F"/>
    <w:rsid w:val="00D16F6A"/>
    <w:rsid w:val="00D179C8"/>
    <w:rsid w:val="00D17ABD"/>
    <w:rsid w:val="00D20075"/>
    <w:rsid w:val="00D200BF"/>
    <w:rsid w:val="00D203A7"/>
    <w:rsid w:val="00D203C2"/>
    <w:rsid w:val="00D20B6D"/>
    <w:rsid w:val="00D20B89"/>
    <w:rsid w:val="00D20C4A"/>
    <w:rsid w:val="00D20DC9"/>
    <w:rsid w:val="00D21338"/>
    <w:rsid w:val="00D21641"/>
    <w:rsid w:val="00D2195A"/>
    <w:rsid w:val="00D21990"/>
    <w:rsid w:val="00D21A66"/>
    <w:rsid w:val="00D21B11"/>
    <w:rsid w:val="00D21EB7"/>
    <w:rsid w:val="00D21FA0"/>
    <w:rsid w:val="00D21FE2"/>
    <w:rsid w:val="00D22463"/>
    <w:rsid w:val="00D22586"/>
    <w:rsid w:val="00D225E3"/>
    <w:rsid w:val="00D227F0"/>
    <w:rsid w:val="00D22BA6"/>
    <w:rsid w:val="00D2330C"/>
    <w:rsid w:val="00D2344F"/>
    <w:rsid w:val="00D23808"/>
    <w:rsid w:val="00D23E9B"/>
    <w:rsid w:val="00D23F9E"/>
    <w:rsid w:val="00D240D2"/>
    <w:rsid w:val="00D240D7"/>
    <w:rsid w:val="00D24C0E"/>
    <w:rsid w:val="00D2539D"/>
    <w:rsid w:val="00D25556"/>
    <w:rsid w:val="00D25C85"/>
    <w:rsid w:val="00D264E3"/>
    <w:rsid w:val="00D266AF"/>
    <w:rsid w:val="00D268A7"/>
    <w:rsid w:val="00D26D3A"/>
    <w:rsid w:val="00D26EF0"/>
    <w:rsid w:val="00D271AD"/>
    <w:rsid w:val="00D2732E"/>
    <w:rsid w:val="00D279B2"/>
    <w:rsid w:val="00D27BFB"/>
    <w:rsid w:val="00D27EC0"/>
    <w:rsid w:val="00D27F7C"/>
    <w:rsid w:val="00D27FD6"/>
    <w:rsid w:val="00D3013F"/>
    <w:rsid w:val="00D302F8"/>
    <w:rsid w:val="00D305E6"/>
    <w:rsid w:val="00D3096B"/>
    <w:rsid w:val="00D30BE0"/>
    <w:rsid w:val="00D311BB"/>
    <w:rsid w:val="00D32149"/>
    <w:rsid w:val="00D324C3"/>
    <w:rsid w:val="00D3254E"/>
    <w:rsid w:val="00D32630"/>
    <w:rsid w:val="00D3267C"/>
    <w:rsid w:val="00D326B7"/>
    <w:rsid w:val="00D3272E"/>
    <w:rsid w:val="00D32836"/>
    <w:rsid w:val="00D32837"/>
    <w:rsid w:val="00D3298D"/>
    <w:rsid w:val="00D32F93"/>
    <w:rsid w:val="00D33160"/>
    <w:rsid w:val="00D349E5"/>
    <w:rsid w:val="00D34FEF"/>
    <w:rsid w:val="00D350AF"/>
    <w:rsid w:val="00D351D3"/>
    <w:rsid w:val="00D352E6"/>
    <w:rsid w:val="00D3547B"/>
    <w:rsid w:val="00D35502"/>
    <w:rsid w:val="00D355B0"/>
    <w:rsid w:val="00D3564C"/>
    <w:rsid w:val="00D358DC"/>
    <w:rsid w:val="00D35A23"/>
    <w:rsid w:val="00D35C76"/>
    <w:rsid w:val="00D36321"/>
    <w:rsid w:val="00D36524"/>
    <w:rsid w:val="00D370CD"/>
    <w:rsid w:val="00D37223"/>
    <w:rsid w:val="00D37313"/>
    <w:rsid w:val="00D37587"/>
    <w:rsid w:val="00D37819"/>
    <w:rsid w:val="00D37955"/>
    <w:rsid w:val="00D37B4A"/>
    <w:rsid w:val="00D37C23"/>
    <w:rsid w:val="00D40056"/>
    <w:rsid w:val="00D4013C"/>
    <w:rsid w:val="00D401B9"/>
    <w:rsid w:val="00D403D2"/>
    <w:rsid w:val="00D406B9"/>
    <w:rsid w:val="00D40C59"/>
    <w:rsid w:val="00D411E4"/>
    <w:rsid w:val="00D4149B"/>
    <w:rsid w:val="00D417F6"/>
    <w:rsid w:val="00D41D9A"/>
    <w:rsid w:val="00D41E28"/>
    <w:rsid w:val="00D41ECE"/>
    <w:rsid w:val="00D41FAD"/>
    <w:rsid w:val="00D420C6"/>
    <w:rsid w:val="00D42534"/>
    <w:rsid w:val="00D4271C"/>
    <w:rsid w:val="00D429D3"/>
    <w:rsid w:val="00D42A16"/>
    <w:rsid w:val="00D42E55"/>
    <w:rsid w:val="00D433B8"/>
    <w:rsid w:val="00D433FD"/>
    <w:rsid w:val="00D43478"/>
    <w:rsid w:val="00D43555"/>
    <w:rsid w:val="00D436FD"/>
    <w:rsid w:val="00D439FC"/>
    <w:rsid w:val="00D43FD4"/>
    <w:rsid w:val="00D44111"/>
    <w:rsid w:val="00D442BC"/>
    <w:rsid w:val="00D44418"/>
    <w:rsid w:val="00D44999"/>
    <w:rsid w:val="00D44A70"/>
    <w:rsid w:val="00D44F3C"/>
    <w:rsid w:val="00D4556D"/>
    <w:rsid w:val="00D4564C"/>
    <w:rsid w:val="00D45CA3"/>
    <w:rsid w:val="00D45FC1"/>
    <w:rsid w:val="00D46121"/>
    <w:rsid w:val="00D46152"/>
    <w:rsid w:val="00D461D8"/>
    <w:rsid w:val="00D465D7"/>
    <w:rsid w:val="00D465E5"/>
    <w:rsid w:val="00D46668"/>
    <w:rsid w:val="00D46695"/>
    <w:rsid w:val="00D467D9"/>
    <w:rsid w:val="00D46E7A"/>
    <w:rsid w:val="00D472F1"/>
    <w:rsid w:val="00D47515"/>
    <w:rsid w:val="00D4767B"/>
    <w:rsid w:val="00D47691"/>
    <w:rsid w:val="00D47700"/>
    <w:rsid w:val="00D47B07"/>
    <w:rsid w:val="00D50167"/>
    <w:rsid w:val="00D502F9"/>
    <w:rsid w:val="00D50E04"/>
    <w:rsid w:val="00D50FB8"/>
    <w:rsid w:val="00D510F9"/>
    <w:rsid w:val="00D51158"/>
    <w:rsid w:val="00D51261"/>
    <w:rsid w:val="00D51417"/>
    <w:rsid w:val="00D514EF"/>
    <w:rsid w:val="00D515DA"/>
    <w:rsid w:val="00D51861"/>
    <w:rsid w:val="00D52063"/>
    <w:rsid w:val="00D521D4"/>
    <w:rsid w:val="00D52639"/>
    <w:rsid w:val="00D52710"/>
    <w:rsid w:val="00D52C39"/>
    <w:rsid w:val="00D52F33"/>
    <w:rsid w:val="00D53300"/>
    <w:rsid w:val="00D5334A"/>
    <w:rsid w:val="00D538A2"/>
    <w:rsid w:val="00D5394E"/>
    <w:rsid w:val="00D53B19"/>
    <w:rsid w:val="00D53C28"/>
    <w:rsid w:val="00D53F03"/>
    <w:rsid w:val="00D54147"/>
    <w:rsid w:val="00D546C0"/>
    <w:rsid w:val="00D547ED"/>
    <w:rsid w:val="00D54803"/>
    <w:rsid w:val="00D54974"/>
    <w:rsid w:val="00D54CB1"/>
    <w:rsid w:val="00D54FE9"/>
    <w:rsid w:val="00D557C1"/>
    <w:rsid w:val="00D55A6F"/>
    <w:rsid w:val="00D55A9A"/>
    <w:rsid w:val="00D56D1D"/>
    <w:rsid w:val="00D5728F"/>
    <w:rsid w:val="00D57487"/>
    <w:rsid w:val="00D574CB"/>
    <w:rsid w:val="00D576F1"/>
    <w:rsid w:val="00D57880"/>
    <w:rsid w:val="00D57E16"/>
    <w:rsid w:val="00D6071F"/>
    <w:rsid w:val="00D61304"/>
    <w:rsid w:val="00D613AF"/>
    <w:rsid w:val="00D61437"/>
    <w:rsid w:val="00D6152C"/>
    <w:rsid w:val="00D61611"/>
    <w:rsid w:val="00D6166A"/>
    <w:rsid w:val="00D6173E"/>
    <w:rsid w:val="00D61807"/>
    <w:rsid w:val="00D61919"/>
    <w:rsid w:val="00D61964"/>
    <w:rsid w:val="00D61EF0"/>
    <w:rsid w:val="00D61EF3"/>
    <w:rsid w:val="00D6225D"/>
    <w:rsid w:val="00D622D5"/>
    <w:rsid w:val="00D62393"/>
    <w:rsid w:val="00D62531"/>
    <w:rsid w:val="00D62774"/>
    <w:rsid w:val="00D62E05"/>
    <w:rsid w:val="00D62F45"/>
    <w:rsid w:val="00D63291"/>
    <w:rsid w:val="00D635E3"/>
    <w:rsid w:val="00D63C82"/>
    <w:rsid w:val="00D63E8E"/>
    <w:rsid w:val="00D63EB9"/>
    <w:rsid w:val="00D6466D"/>
    <w:rsid w:val="00D64747"/>
    <w:rsid w:val="00D64A85"/>
    <w:rsid w:val="00D64C48"/>
    <w:rsid w:val="00D64ED0"/>
    <w:rsid w:val="00D64F60"/>
    <w:rsid w:val="00D65178"/>
    <w:rsid w:val="00D65BB7"/>
    <w:rsid w:val="00D65D90"/>
    <w:rsid w:val="00D65FD0"/>
    <w:rsid w:val="00D66408"/>
    <w:rsid w:val="00D66558"/>
    <w:rsid w:val="00D6677C"/>
    <w:rsid w:val="00D66A93"/>
    <w:rsid w:val="00D66FF8"/>
    <w:rsid w:val="00D66FF9"/>
    <w:rsid w:val="00D67194"/>
    <w:rsid w:val="00D671B8"/>
    <w:rsid w:val="00D67305"/>
    <w:rsid w:val="00D6758A"/>
    <w:rsid w:val="00D67D4F"/>
    <w:rsid w:val="00D67FBE"/>
    <w:rsid w:val="00D7024B"/>
    <w:rsid w:val="00D7029C"/>
    <w:rsid w:val="00D709F0"/>
    <w:rsid w:val="00D70B7D"/>
    <w:rsid w:val="00D71071"/>
    <w:rsid w:val="00D71EA6"/>
    <w:rsid w:val="00D71F9D"/>
    <w:rsid w:val="00D72142"/>
    <w:rsid w:val="00D72699"/>
    <w:rsid w:val="00D726D0"/>
    <w:rsid w:val="00D72724"/>
    <w:rsid w:val="00D72AD3"/>
    <w:rsid w:val="00D72DAA"/>
    <w:rsid w:val="00D72E9E"/>
    <w:rsid w:val="00D72F5F"/>
    <w:rsid w:val="00D72FAB"/>
    <w:rsid w:val="00D73217"/>
    <w:rsid w:val="00D735F5"/>
    <w:rsid w:val="00D7393B"/>
    <w:rsid w:val="00D73F30"/>
    <w:rsid w:val="00D73FD9"/>
    <w:rsid w:val="00D7401F"/>
    <w:rsid w:val="00D74318"/>
    <w:rsid w:val="00D74367"/>
    <w:rsid w:val="00D745BB"/>
    <w:rsid w:val="00D74E83"/>
    <w:rsid w:val="00D75161"/>
    <w:rsid w:val="00D752DF"/>
    <w:rsid w:val="00D7568E"/>
    <w:rsid w:val="00D75830"/>
    <w:rsid w:val="00D75942"/>
    <w:rsid w:val="00D75C74"/>
    <w:rsid w:val="00D7620F"/>
    <w:rsid w:val="00D7627C"/>
    <w:rsid w:val="00D762FF"/>
    <w:rsid w:val="00D76535"/>
    <w:rsid w:val="00D7674F"/>
    <w:rsid w:val="00D769A0"/>
    <w:rsid w:val="00D76A18"/>
    <w:rsid w:val="00D76A74"/>
    <w:rsid w:val="00D77479"/>
    <w:rsid w:val="00D77DC7"/>
    <w:rsid w:val="00D77E6D"/>
    <w:rsid w:val="00D80400"/>
    <w:rsid w:val="00D80F92"/>
    <w:rsid w:val="00D810F6"/>
    <w:rsid w:val="00D811F4"/>
    <w:rsid w:val="00D8128C"/>
    <w:rsid w:val="00D8181F"/>
    <w:rsid w:val="00D81B43"/>
    <w:rsid w:val="00D81C24"/>
    <w:rsid w:val="00D82005"/>
    <w:rsid w:val="00D82AFC"/>
    <w:rsid w:val="00D82C54"/>
    <w:rsid w:val="00D82F29"/>
    <w:rsid w:val="00D82FB6"/>
    <w:rsid w:val="00D838DA"/>
    <w:rsid w:val="00D83A10"/>
    <w:rsid w:val="00D83A16"/>
    <w:rsid w:val="00D83C4F"/>
    <w:rsid w:val="00D83D60"/>
    <w:rsid w:val="00D8406B"/>
    <w:rsid w:val="00D84259"/>
    <w:rsid w:val="00D84264"/>
    <w:rsid w:val="00D847E0"/>
    <w:rsid w:val="00D85489"/>
    <w:rsid w:val="00D85742"/>
    <w:rsid w:val="00D858B4"/>
    <w:rsid w:val="00D85982"/>
    <w:rsid w:val="00D85A99"/>
    <w:rsid w:val="00D85C3D"/>
    <w:rsid w:val="00D85EB2"/>
    <w:rsid w:val="00D86427"/>
    <w:rsid w:val="00D864C6"/>
    <w:rsid w:val="00D86C43"/>
    <w:rsid w:val="00D86D9C"/>
    <w:rsid w:val="00D86E12"/>
    <w:rsid w:val="00D86E31"/>
    <w:rsid w:val="00D86EB4"/>
    <w:rsid w:val="00D86EFC"/>
    <w:rsid w:val="00D870D0"/>
    <w:rsid w:val="00D870F4"/>
    <w:rsid w:val="00D87847"/>
    <w:rsid w:val="00D87CBE"/>
    <w:rsid w:val="00D87F72"/>
    <w:rsid w:val="00D9001B"/>
    <w:rsid w:val="00D900A9"/>
    <w:rsid w:val="00D901A5"/>
    <w:rsid w:val="00D903A4"/>
    <w:rsid w:val="00D904D2"/>
    <w:rsid w:val="00D9083D"/>
    <w:rsid w:val="00D90A43"/>
    <w:rsid w:val="00D90A72"/>
    <w:rsid w:val="00D90AED"/>
    <w:rsid w:val="00D90B3F"/>
    <w:rsid w:val="00D90CE3"/>
    <w:rsid w:val="00D913ED"/>
    <w:rsid w:val="00D91638"/>
    <w:rsid w:val="00D9165F"/>
    <w:rsid w:val="00D91A06"/>
    <w:rsid w:val="00D91F97"/>
    <w:rsid w:val="00D920ED"/>
    <w:rsid w:val="00D922F4"/>
    <w:rsid w:val="00D92382"/>
    <w:rsid w:val="00D924C1"/>
    <w:rsid w:val="00D9298D"/>
    <w:rsid w:val="00D92A13"/>
    <w:rsid w:val="00D933C7"/>
    <w:rsid w:val="00D9348A"/>
    <w:rsid w:val="00D9359E"/>
    <w:rsid w:val="00D9372C"/>
    <w:rsid w:val="00D93879"/>
    <w:rsid w:val="00D9398D"/>
    <w:rsid w:val="00D93D8D"/>
    <w:rsid w:val="00D93E8B"/>
    <w:rsid w:val="00D9404A"/>
    <w:rsid w:val="00D9498E"/>
    <w:rsid w:val="00D94B67"/>
    <w:rsid w:val="00D94BCA"/>
    <w:rsid w:val="00D957B6"/>
    <w:rsid w:val="00D95816"/>
    <w:rsid w:val="00D95AA1"/>
    <w:rsid w:val="00D95AD9"/>
    <w:rsid w:val="00D95B39"/>
    <w:rsid w:val="00D95CC3"/>
    <w:rsid w:val="00D95D52"/>
    <w:rsid w:val="00D95ED5"/>
    <w:rsid w:val="00D95FD5"/>
    <w:rsid w:val="00D960DF"/>
    <w:rsid w:val="00D96776"/>
    <w:rsid w:val="00D96A7D"/>
    <w:rsid w:val="00D96B9A"/>
    <w:rsid w:val="00D96BD7"/>
    <w:rsid w:val="00D96D05"/>
    <w:rsid w:val="00D96DE0"/>
    <w:rsid w:val="00D96F97"/>
    <w:rsid w:val="00D97014"/>
    <w:rsid w:val="00D97174"/>
    <w:rsid w:val="00D97379"/>
    <w:rsid w:val="00D978F0"/>
    <w:rsid w:val="00D97DD7"/>
    <w:rsid w:val="00D97FDA"/>
    <w:rsid w:val="00DA0164"/>
    <w:rsid w:val="00DA054D"/>
    <w:rsid w:val="00DA0D95"/>
    <w:rsid w:val="00DA0FBA"/>
    <w:rsid w:val="00DA1356"/>
    <w:rsid w:val="00DA1834"/>
    <w:rsid w:val="00DA1B93"/>
    <w:rsid w:val="00DA1BD8"/>
    <w:rsid w:val="00DA1D81"/>
    <w:rsid w:val="00DA1F8D"/>
    <w:rsid w:val="00DA22AE"/>
    <w:rsid w:val="00DA245D"/>
    <w:rsid w:val="00DA2842"/>
    <w:rsid w:val="00DA33FD"/>
    <w:rsid w:val="00DA3ADA"/>
    <w:rsid w:val="00DA3D08"/>
    <w:rsid w:val="00DA3EA4"/>
    <w:rsid w:val="00DA3ED7"/>
    <w:rsid w:val="00DA41CD"/>
    <w:rsid w:val="00DA4646"/>
    <w:rsid w:val="00DA4AA6"/>
    <w:rsid w:val="00DA4FA3"/>
    <w:rsid w:val="00DA514E"/>
    <w:rsid w:val="00DA53B9"/>
    <w:rsid w:val="00DA5978"/>
    <w:rsid w:val="00DA5D6A"/>
    <w:rsid w:val="00DA5E57"/>
    <w:rsid w:val="00DA5EFF"/>
    <w:rsid w:val="00DA5F1D"/>
    <w:rsid w:val="00DA5F7F"/>
    <w:rsid w:val="00DA698B"/>
    <w:rsid w:val="00DA6A13"/>
    <w:rsid w:val="00DA6BA8"/>
    <w:rsid w:val="00DA6E27"/>
    <w:rsid w:val="00DA6F72"/>
    <w:rsid w:val="00DA6FD6"/>
    <w:rsid w:val="00DA70A9"/>
    <w:rsid w:val="00DA7303"/>
    <w:rsid w:val="00DA7313"/>
    <w:rsid w:val="00DA7AEF"/>
    <w:rsid w:val="00DB0125"/>
    <w:rsid w:val="00DB0650"/>
    <w:rsid w:val="00DB0664"/>
    <w:rsid w:val="00DB0A06"/>
    <w:rsid w:val="00DB0AEA"/>
    <w:rsid w:val="00DB0BD8"/>
    <w:rsid w:val="00DB0C44"/>
    <w:rsid w:val="00DB0F0D"/>
    <w:rsid w:val="00DB1329"/>
    <w:rsid w:val="00DB1376"/>
    <w:rsid w:val="00DB15A9"/>
    <w:rsid w:val="00DB15C4"/>
    <w:rsid w:val="00DB1660"/>
    <w:rsid w:val="00DB1F6D"/>
    <w:rsid w:val="00DB2169"/>
    <w:rsid w:val="00DB220F"/>
    <w:rsid w:val="00DB221C"/>
    <w:rsid w:val="00DB3226"/>
    <w:rsid w:val="00DB3338"/>
    <w:rsid w:val="00DB3708"/>
    <w:rsid w:val="00DB383F"/>
    <w:rsid w:val="00DB3FE6"/>
    <w:rsid w:val="00DB40C5"/>
    <w:rsid w:val="00DB41AD"/>
    <w:rsid w:val="00DB48D8"/>
    <w:rsid w:val="00DB4BFD"/>
    <w:rsid w:val="00DB4C6D"/>
    <w:rsid w:val="00DB4E18"/>
    <w:rsid w:val="00DB5033"/>
    <w:rsid w:val="00DB5697"/>
    <w:rsid w:val="00DB5814"/>
    <w:rsid w:val="00DB5866"/>
    <w:rsid w:val="00DB5899"/>
    <w:rsid w:val="00DB5ACE"/>
    <w:rsid w:val="00DB5AF5"/>
    <w:rsid w:val="00DB5B60"/>
    <w:rsid w:val="00DB5E0F"/>
    <w:rsid w:val="00DB638C"/>
    <w:rsid w:val="00DB6591"/>
    <w:rsid w:val="00DB6D5D"/>
    <w:rsid w:val="00DB6D73"/>
    <w:rsid w:val="00DB6FD6"/>
    <w:rsid w:val="00DB711A"/>
    <w:rsid w:val="00DB7293"/>
    <w:rsid w:val="00DB76C6"/>
    <w:rsid w:val="00DB7887"/>
    <w:rsid w:val="00DB790A"/>
    <w:rsid w:val="00DB7AF6"/>
    <w:rsid w:val="00DB7E66"/>
    <w:rsid w:val="00DC048C"/>
    <w:rsid w:val="00DC0AE9"/>
    <w:rsid w:val="00DC0F37"/>
    <w:rsid w:val="00DC0F9C"/>
    <w:rsid w:val="00DC1290"/>
    <w:rsid w:val="00DC15B0"/>
    <w:rsid w:val="00DC18E4"/>
    <w:rsid w:val="00DC19DC"/>
    <w:rsid w:val="00DC1E7D"/>
    <w:rsid w:val="00DC1EA1"/>
    <w:rsid w:val="00DC205E"/>
    <w:rsid w:val="00DC21DB"/>
    <w:rsid w:val="00DC23AF"/>
    <w:rsid w:val="00DC261B"/>
    <w:rsid w:val="00DC2A9A"/>
    <w:rsid w:val="00DC2CAD"/>
    <w:rsid w:val="00DC2E4C"/>
    <w:rsid w:val="00DC32F0"/>
    <w:rsid w:val="00DC3609"/>
    <w:rsid w:val="00DC3AB0"/>
    <w:rsid w:val="00DC3BEE"/>
    <w:rsid w:val="00DC41B0"/>
    <w:rsid w:val="00DC42C1"/>
    <w:rsid w:val="00DC460B"/>
    <w:rsid w:val="00DC4683"/>
    <w:rsid w:val="00DC47FC"/>
    <w:rsid w:val="00DC4B84"/>
    <w:rsid w:val="00DC4EEC"/>
    <w:rsid w:val="00DC503C"/>
    <w:rsid w:val="00DC5305"/>
    <w:rsid w:val="00DC550D"/>
    <w:rsid w:val="00DC56FE"/>
    <w:rsid w:val="00DC5A9B"/>
    <w:rsid w:val="00DC5F97"/>
    <w:rsid w:val="00DC5FAA"/>
    <w:rsid w:val="00DC6266"/>
    <w:rsid w:val="00DC698B"/>
    <w:rsid w:val="00DC723A"/>
    <w:rsid w:val="00DC774B"/>
    <w:rsid w:val="00DC7772"/>
    <w:rsid w:val="00DC7C2D"/>
    <w:rsid w:val="00DD0019"/>
    <w:rsid w:val="00DD0348"/>
    <w:rsid w:val="00DD088C"/>
    <w:rsid w:val="00DD0A18"/>
    <w:rsid w:val="00DD0CB5"/>
    <w:rsid w:val="00DD0DE7"/>
    <w:rsid w:val="00DD114B"/>
    <w:rsid w:val="00DD15A8"/>
    <w:rsid w:val="00DD15DB"/>
    <w:rsid w:val="00DD19D7"/>
    <w:rsid w:val="00DD1AC0"/>
    <w:rsid w:val="00DD1B98"/>
    <w:rsid w:val="00DD1C2E"/>
    <w:rsid w:val="00DD1F3C"/>
    <w:rsid w:val="00DD21FE"/>
    <w:rsid w:val="00DD24B7"/>
    <w:rsid w:val="00DD2B90"/>
    <w:rsid w:val="00DD31BA"/>
    <w:rsid w:val="00DD362E"/>
    <w:rsid w:val="00DD37B6"/>
    <w:rsid w:val="00DD3F9E"/>
    <w:rsid w:val="00DD3FAD"/>
    <w:rsid w:val="00DD430E"/>
    <w:rsid w:val="00DD4367"/>
    <w:rsid w:val="00DD4716"/>
    <w:rsid w:val="00DD4859"/>
    <w:rsid w:val="00DD4897"/>
    <w:rsid w:val="00DD4BA9"/>
    <w:rsid w:val="00DD5450"/>
    <w:rsid w:val="00DD5499"/>
    <w:rsid w:val="00DD57AF"/>
    <w:rsid w:val="00DD5C62"/>
    <w:rsid w:val="00DD5D5E"/>
    <w:rsid w:val="00DD5F1F"/>
    <w:rsid w:val="00DD5FD5"/>
    <w:rsid w:val="00DD6017"/>
    <w:rsid w:val="00DD6565"/>
    <w:rsid w:val="00DD65A8"/>
    <w:rsid w:val="00DD6728"/>
    <w:rsid w:val="00DD6C9B"/>
    <w:rsid w:val="00DD6CDC"/>
    <w:rsid w:val="00DD6DD0"/>
    <w:rsid w:val="00DD706B"/>
    <w:rsid w:val="00DD7097"/>
    <w:rsid w:val="00DD7234"/>
    <w:rsid w:val="00DD7235"/>
    <w:rsid w:val="00DD76EE"/>
    <w:rsid w:val="00DD7A5D"/>
    <w:rsid w:val="00DD7C0C"/>
    <w:rsid w:val="00DD7F17"/>
    <w:rsid w:val="00DE05DD"/>
    <w:rsid w:val="00DE10EF"/>
    <w:rsid w:val="00DE119E"/>
    <w:rsid w:val="00DE122B"/>
    <w:rsid w:val="00DE1F09"/>
    <w:rsid w:val="00DE1F41"/>
    <w:rsid w:val="00DE2266"/>
    <w:rsid w:val="00DE238B"/>
    <w:rsid w:val="00DE259F"/>
    <w:rsid w:val="00DE2B87"/>
    <w:rsid w:val="00DE3BE0"/>
    <w:rsid w:val="00DE3F95"/>
    <w:rsid w:val="00DE4338"/>
    <w:rsid w:val="00DE44F6"/>
    <w:rsid w:val="00DE48B3"/>
    <w:rsid w:val="00DE48BD"/>
    <w:rsid w:val="00DE5012"/>
    <w:rsid w:val="00DE52C9"/>
    <w:rsid w:val="00DE5555"/>
    <w:rsid w:val="00DE56C9"/>
    <w:rsid w:val="00DE5DC5"/>
    <w:rsid w:val="00DE61B1"/>
    <w:rsid w:val="00DE6302"/>
    <w:rsid w:val="00DE635B"/>
    <w:rsid w:val="00DE6360"/>
    <w:rsid w:val="00DE6C10"/>
    <w:rsid w:val="00DE6ECB"/>
    <w:rsid w:val="00DE738D"/>
    <w:rsid w:val="00DE74F0"/>
    <w:rsid w:val="00DE7A30"/>
    <w:rsid w:val="00DF076C"/>
    <w:rsid w:val="00DF0918"/>
    <w:rsid w:val="00DF0970"/>
    <w:rsid w:val="00DF0EA7"/>
    <w:rsid w:val="00DF10F2"/>
    <w:rsid w:val="00DF12C3"/>
    <w:rsid w:val="00DF12CB"/>
    <w:rsid w:val="00DF140D"/>
    <w:rsid w:val="00DF1602"/>
    <w:rsid w:val="00DF1C41"/>
    <w:rsid w:val="00DF2092"/>
    <w:rsid w:val="00DF225B"/>
    <w:rsid w:val="00DF2275"/>
    <w:rsid w:val="00DF2573"/>
    <w:rsid w:val="00DF271F"/>
    <w:rsid w:val="00DF2BD1"/>
    <w:rsid w:val="00DF2C3E"/>
    <w:rsid w:val="00DF309F"/>
    <w:rsid w:val="00DF30A5"/>
    <w:rsid w:val="00DF3558"/>
    <w:rsid w:val="00DF3691"/>
    <w:rsid w:val="00DF3786"/>
    <w:rsid w:val="00DF3C85"/>
    <w:rsid w:val="00DF3FDB"/>
    <w:rsid w:val="00DF407F"/>
    <w:rsid w:val="00DF4151"/>
    <w:rsid w:val="00DF421B"/>
    <w:rsid w:val="00DF4936"/>
    <w:rsid w:val="00DF497F"/>
    <w:rsid w:val="00DF4E20"/>
    <w:rsid w:val="00DF4E4C"/>
    <w:rsid w:val="00DF5150"/>
    <w:rsid w:val="00DF5316"/>
    <w:rsid w:val="00DF594B"/>
    <w:rsid w:val="00DF596A"/>
    <w:rsid w:val="00DF5B7D"/>
    <w:rsid w:val="00DF658F"/>
    <w:rsid w:val="00DF6625"/>
    <w:rsid w:val="00DF6E20"/>
    <w:rsid w:val="00DF703F"/>
    <w:rsid w:val="00DF70DF"/>
    <w:rsid w:val="00DF70F0"/>
    <w:rsid w:val="00DF726A"/>
    <w:rsid w:val="00DF72AA"/>
    <w:rsid w:val="00DF781E"/>
    <w:rsid w:val="00DF7CE2"/>
    <w:rsid w:val="00DF7F05"/>
    <w:rsid w:val="00E002E0"/>
    <w:rsid w:val="00E00656"/>
    <w:rsid w:val="00E007C4"/>
    <w:rsid w:val="00E0087D"/>
    <w:rsid w:val="00E0090B"/>
    <w:rsid w:val="00E00CEE"/>
    <w:rsid w:val="00E00D26"/>
    <w:rsid w:val="00E00D29"/>
    <w:rsid w:val="00E00E09"/>
    <w:rsid w:val="00E00F82"/>
    <w:rsid w:val="00E01058"/>
    <w:rsid w:val="00E01B45"/>
    <w:rsid w:val="00E029B0"/>
    <w:rsid w:val="00E02B43"/>
    <w:rsid w:val="00E02B84"/>
    <w:rsid w:val="00E02E24"/>
    <w:rsid w:val="00E033FC"/>
    <w:rsid w:val="00E0353B"/>
    <w:rsid w:val="00E0383B"/>
    <w:rsid w:val="00E03A9E"/>
    <w:rsid w:val="00E03DB1"/>
    <w:rsid w:val="00E040F6"/>
    <w:rsid w:val="00E0415E"/>
    <w:rsid w:val="00E04336"/>
    <w:rsid w:val="00E049FF"/>
    <w:rsid w:val="00E04B24"/>
    <w:rsid w:val="00E04B74"/>
    <w:rsid w:val="00E04C09"/>
    <w:rsid w:val="00E04DE7"/>
    <w:rsid w:val="00E04DEE"/>
    <w:rsid w:val="00E05041"/>
    <w:rsid w:val="00E0521A"/>
    <w:rsid w:val="00E05350"/>
    <w:rsid w:val="00E05862"/>
    <w:rsid w:val="00E058D9"/>
    <w:rsid w:val="00E05908"/>
    <w:rsid w:val="00E05E19"/>
    <w:rsid w:val="00E05FEC"/>
    <w:rsid w:val="00E0611C"/>
    <w:rsid w:val="00E06508"/>
    <w:rsid w:val="00E06991"/>
    <w:rsid w:val="00E06F20"/>
    <w:rsid w:val="00E06F37"/>
    <w:rsid w:val="00E07284"/>
    <w:rsid w:val="00E0741B"/>
    <w:rsid w:val="00E076C9"/>
    <w:rsid w:val="00E07811"/>
    <w:rsid w:val="00E07ABD"/>
    <w:rsid w:val="00E07CC1"/>
    <w:rsid w:val="00E10139"/>
    <w:rsid w:val="00E102F2"/>
    <w:rsid w:val="00E10330"/>
    <w:rsid w:val="00E10390"/>
    <w:rsid w:val="00E10574"/>
    <w:rsid w:val="00E105C9"/>
    <w:rsid w:val="00E10790"/>
    <w:rsid w:val="00E10B29"/>
    <w:rsid w:val="00E10D2F"/>
    <w:rsid w:val="00E11EF4"/>
    <w:rsid w:val="00E12045"/>
    <w:rsid w:val="00E12147"/>
    <w:rsid w:val="00E12820"/>
    <w:rsid w:val="00E12A5E"/>
    <w:rsid w:val="00E12DFD"/>
    <w:rsid w:val="00E12E87"/>
    <w:rsid w:val="00E13007"/>
    <w:rsid w:val="00E1305A"/>
    <w:rsid w:val="00E1337F"/>
    <w:rsid w:val="00E134E7"/>
    <w:rsid w:val="00E13A92"/>
    <w:rsid w:val="00E13B94"/>
    <w:rsid w:val="00E13EA6"/>
    <w:rsid w:val="00E1409D"/>
    <w:rsid w:val="00E142B7"/>
    <w:rsid w:val="00E14603"/>
    <w:rsid w:val="00E148A4"/>
    <w:rsid w:val="00E14A13"/>
    <w:rsid w:val="00E14A36"/>
    <w:rsid w:val="00E14A58"/>
    <w:rsid w:val="00E14D6E"/>
    <w:rsid w:val="00E154C9"/>
    <w:rsid w:val="00E155EB"/>
    <w:rsid w:val="00E15731"/>
    <w:rsid w:val="00E15FCF"/>
    <w:rsid w:val="00E16499"/>
    <w:rsid w:val="00E165CD"/>
    <w:rsid w:val="00E16664"/>
    <w:rsid w:val="00E16873"/>
    <w:rsid w:val="00E16C40"/>
    <w:rsid w:val="00E16C78"/>
    <w:rsid w:val="00E17343"/>
    <w:rsid w:val="00E179D8"/>
    <w:rsid w:val="00E17B87"/>
    <w:rsid w:val="00E17F76"/>
    <w:rsid w:val="00E201A6"/>
    <w:rsid w:val="00E2086A"/>
    <w:rsid w:val="00E20ABF"/>
    <w:rsid w:val="00E20C45"/>
    <w:rsid w:val="00E20D1B"/>
    <w:rsid w:val="00E20DCF"/>
    <w:rsid w:val="00E21741"/>
    <w:rsid w:val="00E21AB3"/>
    <w:rsid w:val="00E21E1B"/>
    <w:rsid w:val="00E2247A"/>
    <w:rsid w:val="00E224D9"/>
    <w:rsid w:val="00E22953"/>
    <w:rsid w:val="00E229C8"/>
    <w:rsid w:val="00E22D11"/>
    <w:rsid w:val="00E22E49"/>
    <w:rsid w:val="00E22ED8"/>
    <w:rsid w:val="00E235CA"/>
    <w:rsid w:val="00E23A4A"/>
    <w:rsid w:val="00E23FFA"/>
    <w:rsid w:val="00E240D5"/>
    <w:rsid w:val="00E2457B"/>
    <w:rsid w:val="00E247B4"/>
    <w:rsid w:val="00E248AA"/>
    <w:rsid w:val="00E24961"/>
    <w:rsid w:val="00E24B36"/>
    <w:rsid w:val="00E24B45"/>
    <w:rsid w:val="00E24BA6"/>
    <w:rsid w:val="00E24BB6"/>
    <w:rsid w:val="00E24D5A"/>
    <w:rsid w:val="00E24DA3"/>
    <w:rsid w:val="00E24E88"/>
    <w:rsid w:val="00E25181"/>
    <w:rsid w:val="00E255F6"/>
    <w:rsid w:val="00E256E9"/>
    <w:rsid w:val="00E25878"/>
    <w:rsid w:val="00E25D41"/>
    <w:rsid w:val="00E25D4B"/>
    <w:rsid w:val="00E25E1F"/>
    <w:rsid w:val="00E25F2F"/>
    <w:rsid w:val="00E25FB8"/>
    <w:rsid w:val="00E2637C"/>
    <w:rsid w:val="00E264E8"/>
    <w:rsid w:val="00E265D5"/>
    <w:rsid w:val="00E26752"/>
    <w:rsid w:val="00E26796"/>
    <w:rsid w:val="00E26B49"/>
    <w:rsid w:val="00E26E04"/>
    <w:rsid w:val="00E272C1"/>
    <w:rsid w:val="00E2742C"/>
    <w:rsid w:val="00E2764F"/>
    <w:rsid w:val="00E27B28"/>
    <w:rsid w:val="00E27B90"/>
    <w:rsid w:val="00E27E3A"/>
    <w:rsid w:val="00E27EE9"/>
    <w:rsid w:val="00E3067F"/>
    <w:rsid w:val="00E307FA"/>
    <w:rsid w:val="00E30D59"/>
    <w:rsid w:val="00E31028"/>
    <w:rsid w:val="00E310A0"/>
    <w:rsid w:val="00E311D8"/>
    <w:rsid w:val="00E31212"/>
    <w:rsid w:val="00E313B7"/>
    <w:rsid w:val="00E3156B"/>
    <w:rsid w:val="00E315A5"/>
    <w:rsid w:val="00E3176C"/>
    <w:rsid w:val="00E31DCA"/>
    <w:rsid w:val="00E31F04"/>
    <w:rsid w:val="00E32130"/>
    <w:rsid w:val="00E32472"/>
    <w:rsid w:val="00E32DD1"/>
    <w:rsid w:val="00E32FA6"/>
    <w:rsid w:val="00E3303B"/>
    <w:rsid w:val="00E332A1"/>
    <w:rsid w:val="00E3372E"/>
    <w:rsid w:val="00E337F8"/>
    <w:rsid w:val="00E33863"/>
    <w:rsid w:val="00E339EA"/>
    <w:rsid w:val="00E33E79"/>
    <w:rsid w:val="00E33EC1"/>
    <w:rsid w:val="00E34312"/>
    <w:rsid w:val="00E344ED"/>
    <w:rsid w:val="00E3472D"/>
    <w:rsid w:val="00E34919"/>
    <w:rsid w:val="00E34C84"/>
    <w:rsid w:val="00E3526C"/>
    <w:rsid w:val="00E355D3"/>
    <w:rsid w:val="00E35A43"/>
    <w:rsid w:val="00E35ADB"/>
    <w:rsid w:val="00E35CF7"/>
    <w:rsid w:val="00E35E0B"/>
    <w:rsid w:val="00E35F8E"/>
    <w:rsid w:val="00E35F90"/>
    <w:rsid w:val="00E35FD3"/>
    <w:rsid w:val="00E362FB"/>
    <w:rsid w:val="00E364FD"/>
    <w:rsid w:val="00E366D8"/>
    <w:rsid w:val="00E36B5C"/>
    <w:rsid w:val="00E36C06"/>
    <w:rsid w:val="00E36C2D"/>
    <w:rsid w:val="00E36C3E"/>
    <w:rsid w:val="00E36CE7"/>
    <w:rsid w:val="00E37282"/>
    <w:rsid w:val="00E3779A"/>
    <w:rsid w:val="00E4007D"/>
    <w:rsid w:val="00E40185"/>
    <w:rsid w:val="00E4018A"/>
    <w:rsid w:val="00E401D4"/>
    <w:rsid w:val="00E403C0"/>
    <w:rsid w:val="00E4051E"/>
    <w:rsid w:val="00E405C0"/>
    <w:rsid w:val="00E40653"/>
    <w:rsid w:val="00E40717"/>
    <w:rsid w:val="00E40887"/>
    <w:rsid w:val="00E41C8C"/>
    <w:rsid w:val="00E41CED"/>
    <w:rsid w:val="00E41ED1"/>
    <w:rsid w:val="00E426B5"/>
    <w:rsid w:val="00E42EA5"/>
    <w:rsid w:val="00E4310C"/>
    <w:rsid w:val="00E4349A"/>
    <w:rsid w:val="00E435A8"/>
    <w:rsid w:val="00E436E2"/>
    <w:rsid w:val="00E43700"/>
    <w:rsid w:val="00E437C8"/>
    <w:rsid w:val="00E43997"/>
    <w:rsid w:val="00E43BF5"/>
    <w:rsid w:val="00E43C0E"/>
    <w:rsid w:val="00E43D8F"/>
    <w:rsid w:val="00E43EE2"/>
    <w:rsid w:val="00E44156"/>
    <w:rsid w:val="00E441B2"/>
    <w:rsid w:val="00E4472D"/>
    <w:rsid w:val="00E44C44"/>
    <w:rsid w:val="00E44F7F"/>
    <w:rsid w:val="00E44FAA"/>
    <w:rsid w:val="00E451F3"/>
    <w:rsid w:val="00E453D1"/>
    <w:rsid w:val="00E454F5"/>
    <w:rsid w:val="00E45500"/>
    <w:rsid w:val="00E456CE"/>
    <w:rsid w:val="00E45AC3"/>
    <w:rsid w:val="00E45F51"/>
    <w:rsid w:val="00E460DB"/>
    <w:rsid w:val="00E46BB1"/>
    <w:rsid w:val="00E473A0"/>
    <w:rsid w:val="00E47430"/>
    <w:rsid w:val="00E4755E"/>
    <w:rsid w:val="00E47600"/>
    <w:rsid w:val="00E47F77"/>
    <w:rsid w:val="00E50024"/>
    <w:rsid w:val="00E505A4"/>
    <w:rsid w:val="00E50FA4"/>
    <w:rsid w:val="00E51741"/>
    <w:rsid w:val="00E51893"/>
    <w:rsid w:val="00E51A1D"/>
    <w:rsid w:val="00E51ADD"/>
    <w:rsid w:val="00E51D26"/>
    <w:rsid w:val="00E51EB9"/>
    <w:rsid w:val="00E51FD7"/>
    <w:rsid w:val="00E52094"/>
    <w:rsid w:val="00E52895"/>
    <w:rsid w:val="00E52D69"/>
    <w:rsid w:val="00E52F51"/>
    <w:rsid w:val="00E52F64"/>
    <w:rsid w:val="00E52FE7"/>
    <w:rsid w:val="00E536C2"/>
    <w:rsid w:val="00E53BBB"/>
    <w:rsid w:val="00E541C3"/>
    <w:rsid w:val="00E542F7"/>
    <w:rsid w:val="00E5433C"/>
    <w:rsid w:val="00E54694"/>
    <w:rsid w:val="00E54807"/>
    <w:rsid w:val="00E54D72"/>
    <w:rsid w:val="00E54F04"/>
    <w:rsid w:val="00E55790"/>
    <w:rsid w:val="00E55F12"/>
    <w:rsid w:val="00E56A5E"/>
    <w:rsid w:val="00E56FBB"/>
    <w:rsid w:val="00E5702A"/>
    <w:rsid w:val="00E57092"/>
    <w:rsid w:val="00E5714E"/>
    <w:rsid w:val="00E572AC"/>
    <w:rsid w:val="00E57341"/>
    <w:rsid w:val="00E577A0"/>
    <w:rsid w:val="00E57BF8"/>
    <w:rsid w:val="00E57FF9"/>
    <w:rsid w:val="00E6009D"/>
    <w:rsid w:val="00E601B9"/>
    <w:rsid w:val="00E602D1"/>
    <w:rsid w:val="00E603DA"/>
    <w:rsid w:val="00E60878"/>
    <w:rsid w:val="00E61416"/>
    <w:rsid w:val="00E61575"/>
    <w:rsid w:val="00E61670"/>
    <w:rsid w:val="00E61803"/>
    <w:rsid w:val="00E6187A"/>
    <w:rsid w:val="00E61E1F"/>
    <w:rsid w:val="00E61F43"/>
    <w:rsid w:val="00E61F68"/>
    <w:rsid w:val="00E622B9"/>
    <w:rsid w:val="00E626D2"/>
    <w:rsid w:val="00E62B89"/>
    <w:rsid w:val="00E62BDD"/>
    <w:rsid w:val="00E62C18"/>
    <w:rsid w:val="00E62D74"/>
    <w:rsid w:val="00E62F7E"/>
    <w:rsid w:val="00E630CF"/>
    <w:rsid w:val="00E63236"/>
    <w:rsid w:val="00E6357C"/>
    <w:rsid w:val="00E6373D"/>
    <w:rsid w:val="00E63850"/>
    <w:rsid w:val="00E63C0B"/>
    <w:rsid w:val="00E63F8C"/>
    <w:rsid w:val="00E64469"/>
    <w:rsid w:val="00E64589"/>
    <w:rsid w:val="00E645E3"/>
    <w:rsid w:val="00E64D5B"/>
    <w:rsid w:val="00E64F19"/>
    <w:rsid w:val="00E64FDB"/>
    <w:rsid w:val="00E650BB"/>
    <w:rsid w:val="00E6531E"/>
    <w:rsid w:val="00E65488"/>
    <w:rsid w:val="00E656C6"/>
    <w:rsid w:val="00E65F2A"/>
    <w:rsid w:val="00E65F82"/>
    <w:rsid w:val="00E65FFE"/>
    <w:rsid w:val="00E660F4"/>
    <w:rsid w:val="00E6623F"/>
    <w:rsid w:val="00E6624E"/>
    <w:rsid w:val="00E668DF"/>
    <w:rsid w:val="00E66C4E"/>
    <w:rsid w:val="00E66D76"/>
    <w:rsid w:val="00E66FD9"/>
    <w:rsid w:val="00E6738F"/>
    <w:rsid w:val="00E6747B"/>
    <w:rsid w:val="00E677A3"/>
    <w:rsid w:val="00E700EB"/>
    <w:rsid w:val="00E70148"/>
    <w:rsid w:val="00E704FC"/>
    <w:rsid w:val="00E705E7"/>
    <w:rsid w:val="00E709B1"/>
    <w:rsid w:val="00E70DCB"/>
    <w:rsid w:val="00E712AB"/>
    <w:rsid w:val="00E71556"/>
    <w:rsid w:val="00E71B21"/>
    <w:rsid w:val="00E71B98"/>
    <w:rsid w:val="00E71BE7"/>
    <w:rsid w:val="00E72088"/>
    <w:rsid w:val="00E7217F"/>
    <w:rsid w:val="00E723AD"/>
    <w:rsid w:val="00E72713"/>
    <w:rsid w:val="00E728BC"/>
    <w:rsid w:val="00E72BE9"/>
    <w:rsid w:val="00E72E6B"/>
    <w:rsid w:val="00E73337"/>
    <w:rsid w:val="00E73361"/>
    <w:rsid w:val="00E733CD"/>
    <w:rsid w:val="00E73C2B"/>
    <w:rsid w:val="00E73E39"/>
    <w:rsid w:val="00E73FD8"/>
    <w:rsid w:val="00E74709"/>
    <w:rsid w:val="00E74782"/>
    <w:rsid w:val="00E74C0E"/>
    <w:rsid w:val="00E74C26"/>
    <w:rsid w:val="00E74F82"/>
    <w:rsid w:val="00E75040"/>
    <w:rsid w:val="00E7545E"/>
    <w:rsid w:val="00E7594B"/>
    <w:rsid w:val="00E76095"/>
    <w:rsid w:val="00E76675"/>
    <w:rsid w:val="00E76711"/>
    <w:rsid w:val="00E767C1"/>
    <w:rsid w:val="00E76A35"/>
    <w:rsid w:val="00E76AB1"/>
    <w:rsid w:val="00E76E7B"/>
    <w:rsid w:val="00E7708D"/>
    <w:rsid w:val="00E77622"/>
    <w:rsid w:val="00E7782D"/>
    <w:rsid w:val="00E77E74"/>
    <w:rsid w:val="00E77E7E"/>
    <w:rsid w:val="00E77FC5"/>
    <w:rsid w:val="00E800DF"/>
    <w:rsid w:val="00E802C7"/>
    <w:rsid w:val="00E8051C"/>
    <w:rsid w:val="00E80597"/>
    <w:rsid w:val="00E8071A"/>
    <w:rsid w:val="00E808DA"/>
    <w:rsid w:val="00E8098C"/>
    <w:rsid w:val="00E809EF"/>
    <w:rsid w:val="00E80F2A"/>
    <w:rsid w:val="00E810D5"/>
    <w:rsid w:val="00E811F8"/>
    <w:rsid w:val="00E81550"/>
    <w:rsid w:val="00E81B9F"/>
    <w:rsid w:val="00E81DAC"/>
    <w:rsid w:val="00E825E4"/>
    <w:rsid w:val="00E82BF3"/>
    <w:rsid w:val="00E82CAD"/>
    <w:rsid w:val="00E82D78"/>
    <w:rsid w:val="00E82DD4"/>
    <w:rsid w:val="00E82E9B"/>
    <w:rsid w:val="00E83392"/>
    <w:rsid w:val="00E83807"/>
    <w:rsid w:val="00E8398A"/>
    <w:rsid w:val="00E83B74"/>
    <w:rsid w:val="00E83F95"/>
    <w:rsid w:val="00E840A5"/>
    <w:rsid w:val="00E84583"/>
    <w:rsid w:val="00E84943"/>
    <w:rsid w:val="00E84FF1"/>
    <w:rsid w:val="00E85ACA"/>
    <w:rsid w:val="00E85BC0"/>
    <w:rsid w:val="00E85CB9"/>
    <w:rsid w:val="00E85F00"/>
    <w:rsid w:val="00E862DA"/>
    <w:rsid w:val="00E8677A"/>
    <w:rsid w:val="00E86C9E"/>
    <w:rsid w:val="00E86CB7"/>
    <w:rsid w:val="00E86F70"/>
    <w:rsid w:val="00E87294"/>
    <w:rsid w:val="00E87691"/>
    <w:rsid w:val="00E87752"/>
    <w:rsid w:val="00E87B06"/>
    <w:rsid w:val="00E90142"/>
    <w:rsid w:val="00E901EE"/>
    <w:rsid w:val="00E90801"/>
    <w:rsid w:val="00E90829"/>
    <w:rsid w:val="00E90B54"/>
    <w:rsid w:val="00E91175"/>
    <w:rsid w:val="00E913C9"/>
    <w:rsid w:val="00E913D7"/>
    <w:rsid w:val="00E9191A"/>
    <w:rsid w:val="00E9193E"/>
    <w:rsid w:val="00E91BA1"/>
    <w:rsid w:val="00E91CBC"/>
    <w:rsid w:val="00E91E14"/>
    <w:rsid w:val="00E9203B"/>
    <w:rsid w:val="00E92508"/>
    <w:rsid w:val="00E92694"/>
    <w:rsid w:val="00E92800"/>
    <w:rsid w:val="00E92D0A"/>
    <w:rsid w:val="00E93010"/>
    <w:rsid w:val="00E93101"/>
    <w:rsid w:val="00E93235"/>
    <w:rsid w:val="00E932FE"/>
    <w:rsid w:val="00E934B9"/>
    <w:rsid w:val="00E935DD"/>
    <w:rsid w:val="00E93E76"/>
    <w:rsid w:val="00E9400E"/>
    <w:rsid w:val="00E94189"/>
    <w:rsid w:val="00E94468"/>
    <w:rsid w:val="00E94663"/>
    <w:rsid w:val="00E94721"/>
    <w:rsid w:val="00E94881"/>
    <w:rsid w:val="00E948CA"/>
    <w:rsid w:val="00E94CBB"/>
    <w:rsid w:val="00E954B3"/>
    <w:rsid w:val="00E956EE"/>
    <w:rsid w:val="00E95F48"/>
    <w:rsid w:val="00E96109"/>
    <w:rsid w:val="00E9624C"/>
    <w:rsid w:val="00E96A9C"/>
    <w:rsid w:val="00E96E41"/>
    <w:rsid w:val="00E96E48"/>
    <w:rsid w:val="00E97568"/>
    <w:rsid w:val="00E9767E"/>
    <w:rsid w:val="00E97875"/>
    <w:rsid w:val="00E978A5"/>
    <w:rsid w:val="00E978EA"/>
    <w:rsid w:val="00E97A39"/>
    <w:rsid w:val="00E97BEE"/>
    <w:rsid w:val="00E97CEF"/>
    <w:rsid w:val="00E97D9E"/>
    <w:rsid w:val="00E97FE3"/>
    <w:rsid w:val="00EA02B6"/>
    <w:rsid w:val="00EA07AF"/>
    <w:rsid w:val="00EA0911"/>
    <w:rsid w:val="00EA0A39"/>
    <w:rsid w:val="00EA0B50"/>
    <w:rsid w:val="00EA0D0A"/>
    <w:rsid w:val="00EA0F5A"/>
    <w:rsid w:val="00EA107E"/>
    <w:rsid w:val="00EA11BF"/>
    <w:rsid w:val="00EA1791"/>
    <w:rsid w:val="00EA17B8"/>
    <w:rsid w:val="00EA1C6C"/>
    <w:rsid w:val="00EA219B"/>
    <w:rsid w:val="00EA224E"/>
    <w:rsid w:val="00EA225E"/>
    <w:rsid w:val="00EA25A1"/>
    <w:rsid w:val="00EA276D"/>
    <w:rsid w:val="00EA2C1D"/>
    <w:rsid w:val="00EA2CBE"/>
    <w:rsid w:val="00EA2ED5"/>
    <w:rsid w:val="00EA3058"/>
    <w:rsid w:val="00EA3117"/>
    <w:rsid w:val="00EA3163"/>
    <w:rsid w:val="00EA3199"/>
    <w:rsid w:val="00EA347E"/>
    <w:rsid w:val="00EA36F9"/>
    <w:rsid w:val="00EA3A42"/>
    <w:rsid w:val="00EA3CD2"/>
    <w:rsid w:val="00EA3EAA"/>
    <w:rsid w:val="00EA4325"/>
    <w:rsid w:val="00EA47AE"/>
    <w:rsid w:val="00EA48F0"/>
    <w:rsid w:val="00EA4A56"/>
    <w:rsid w:val="00EA4C0E"/>
    <w:rsid w:val="00EA50E8"/>
    <w:rsid w:val="00EA5320"/>
    <w:rsid w:val="00EA5333"/>
    <w:rsid w:val="00EA57EA"/>
    <w:rsid w:val="00EA5962"/>
    <w:rsid w:val="00EA597A"/>
    <w:rsid w:val="00EA5E89"/>
    <w:rsid w:val="00EA5EDC"/>
    <w:rsid w:val="00EA5F88"/>
    <w:rsid w:val="00EA61D9"/>
    <w:rsid w:val="00EA64BF"/>
    <w:rsid w:val="00EA665A"/>
    <w:rsid w:val="00EA68E5"/>
    <w:rsid w:val="00EA6BEF"/>
    <w:rsid w:val="00EA6CFF"/>
    <w:rsid w:val="00EA6D32"/>
    <w:rsid w:val="00EA6E2A"/>
    <w:rsid w:val="00EA6F68"/>
    <w:rsid w:val="00EA7526"/>
    <w:rsid w:val="00EA7580"/>
    <w:rsid w:val="00EA770D"/>
    <w:rsid w:val="00EA7859"/>
    <w:rsid w:val="00EA795F"/>
    <w:rsid w:val="00EA7BA8"/>
    <w:rsid w:val="00EA7CFF"/>
    <w:rsid w:val="00EB000D"/>
    <w:rsid w:val="00EB00DF"/>
    <w:rsid w:val="00EB04D5"/>
    <w:rsid w:val="00EB07EF"/>
    <w:rsid w:val="00EB08D0"/>
    <w:rsid w:val="00EB0B72"/>
    <w:rsid w:val="00EB0C86"/>
    <w:rsid w:val="00EB1131"/>
    <w:rsid w:val="00EB118F"/>
    <w:rsid w:val="00EB1196"/>
    <w:rsid w:val="00EB1263"/>
    <w:rsid w:val="00EB169B"/>
    <w:rsid w:val="00EB196C"/>
    <w:rsid w:val="00EB19BF"/>
    <w:rsid w:val="00EB2003"/>
    <w:rsid w:val="00EB22F2"/>
    <w:rsid w:val="00EB2342"/>
    <w:rsid w:val="00EB239E"/>
    <w:rsid w:val="00EB2572"/>
    <w:rsid w:val="00EB26DD"/>
    <w:rsid w:val="00EB273D"/>
    <w:rsid w:val="00EB274A"/>
    <w:rsid w:val="00EB2A67"/>
    <w:rsid w:val="00EB2A7D"/>
    <w:rsid w:val="00EB2B0F"/>
    <w:rsid w:val="00EB2F04"/>
    <w:rsid w:val="00EB2FCA"/>
    <w:rsid w:val="00EB3278"/>
    <w:rsid w:val="00EB376C"/>
    <w:rsid w:val="00EB397D"/>
    <w:rsid w:val="00EB3CDF"/>
    <w:rsid w:val="00EB3D69"/>
    <w:rsid w:val="00EB4389"/>
    <w:rsid w:val="00EB43AB"/>
    <w:rsid w:val="00EB48E0"/>
    <w:rsid w:val="00EB499F"/>
    <w:rsid w:val="00EB49F3"/>
    <w:rsid w:val="00EB4CC2"/>
    <w:rsid w:val="00EB4D5C"/>
    <w:rsid w:val="00EB4F45"/>
    <w:rsid w:val="00EB500A"/>
    <w:rsid w:val="00EB5353"/>
    <w:rsid w:val="00EB56B5"/>
    <w:rsid w:val="00EB5C6D"/>
    <w:rsid w:val="00EB5CAC"/>
    <w:rsid w:val="00EB5E49"/>
    <w:rsid w:val="00EB6AF3"/>
    <w:rsid w:val="00EB6C76"/>
    <w:rsid w:val="00EB6FED"/>
    <w:rsid w:val="00EB7351"/>
    <w:rsid w:val="00EB7431"/>
    <w:rsid w:val="00EB7D76"/>
    <w:rsid w:val="00EC03CD"/>
    <w:rsid w:val="00EC059A"/>
    <w:rsid w:val="00EC082B"/>
    <w:rsid w:val="00EC09F1"/>
    <w:rsid w:val="00EC0A5B"/>
    <w:rsid w:val="00EC12C3"/>
    <w:rsid w:val="00EC196C"/>
    <w:rsid w:val="00EC1A49"/>
    <w:rsid w:val="00EC1AFC"/>
    <w:rsid w:val="00EC1B3B"/>
    <w:rsid w:val="00EC1BA6"/>
    <w:rsid w:val="00EC1BE0"/>
    <w:rsid w:val="00EC22CE"/>
    <w:rsid w:val="00EC2875"/>
    <w:rsid w:val="00EC2981"/>
    <w:rsid w:val="00EC2A8E"/>
    <w:rsid w:val="00EC2B45"/>
    <w:rsid w:val="00EC3144"/>
    <w:rsid w:val="00EC370A"/>
    <w:rsid w:val="00EC390B"/>
    <w:rsid w:val="00EC3B41"/>
    <w:rsid w:val="00EC3DC8"/>
    <w:rsid w:val="00EC3FDD"/>
    <w:rsid w:val="00EC4314"/>
    <w:rsid w:val="00EC4383"/>
    <w:rsid w:val="00EC4496"/>
    <w:rsid w:val="00EC49D1"/>
    <w:rsid w:val="00EC4EE8"/>
    <w:rsid w:val="00EC51BF"/>
    <w:rsid w:val="00EC5234"/>
    <w:rsid w:val="00EC59B0"/>
    <w:rsid w:val="00EC59ED"/>
    <w:rsid w:val="00EC59F8"/>
    <w:rsid w:val="00EC6194"/>
    <w:rsid w:val="00EC6236"/>
    <w:rsid w:val="00EC63C7"/>
    <w:rsid w:val="00EC665F"/>
    <w:rsid w:val="00EC6896"/>
    <w:rsid w:val="00EC68A8"/>
    <w:rsid w:val="00EC68F1"/>
    <w:rsid w:val="00EC75F2"/>
    <w:rsid w:val="00EC766C"/>
    <w:rsid w:val="00EC7830"/>
    <w:rsid w:val="00EC798F"/>
    <w:rsid w:val="00EC7AEF"/>
    <w:rsid w:val="00EC7D42"/>
    <w:rsid w:val="00ED0917"/>
    <w:rsid w:val="00ED0A2F"/>
    <w:rsid w:val="00ED0B66"/>
    <w:rsid w:val="00ED0EC1"/>
    <w:rsid w:val="00ED1A03"/>
    <w:rsid w:val="00ED1B12"/>
    <w:rsid w:val="00ED200F"/>
    <w:rsid w:val="00ED213D"/>
    <w:rsid w:val="00ED2220"/>
    <w:rsid w:val="00ED2687"/>
    <w:rsid w:val="00ED27AA"/>
    <w:rsid w:val="00ED2CFF"/>
    <w:rsid w:val="00ED3084"/>
    <w:rsid w:val="00ED3202"/>
    <w:rsid w:val="00ED324B"/>
    <w:rsid w:val="00ED3972"/>
    <w:rsid w:val="00ED39EB"/>
    <w:rsid w:val="00ED42BC"/>
    <w:rsid w:val="00ED4441"/>
    <w:rsid w:val="00ED4AEB"/>
    <w:rsid w:val="00ED5182"/>
    <w:rsid w:val="00ED5299"/>
    <w:rsid w:val="00ED563F"/>
    <w:rsid w:val="00ED5805"/>
    <w:rsid w:val="00ED5AA9"/>
    <w:rsid w:val="00ED5B8A"/>
    <w:rsid w:val="00ED65B2"/>
    <w:rsid w:val="00ED66F6"/>
    <w:rsid w:val="00ED696F"/>
    <w:rsid w:val="00ED6BC8"/>
    <w:rsid w:val="00ED6EA6"/>
    <w:rsid w:val="00ED6ECA"/>
    <w:rsid w:val="00ED73FC"/>
    <w:rsid w:val="00ED79FB"/>
    <w:rsid w:val="00ED7A79"/>
    <w:rsid w:val="00ED7B52"/>
    <w:rsid w:val="00ED7D22"/>
    <w:rsid w:val="00ED7E0F"/>
    <w:rsid w:val="00EE028D"/>
    <w:rsid w:val="00EE071A"/>
    <w:rsid w:val="00EE0812"/>
    <w:rsid w:val="00EE19AB"/>
    <w:rsid w:val="00EE19C8"/>
    <w:rsid w:val="00EE1C78"/>
    <w:rsid w:val="00EE1DF4"/>
    <w:rsid w:val="00EE1E8C"/>
    <w:rsid w:val="00EE1FFD"/>
    <w:rsid w:val="00EE244A"/>
    <w:rsid w:val="00EE2527"/>
    <w:rsid w:val="00EE2A84"/>
    <w:rsid w:val="00EE2B33"/>
    <w:rsid w:val="00EE2D3F"/>
    <w:rsid w:val="00EE2F04"/>
    <w:rsid w:val="00EE2FF9"/>
    <w:rsid w:val="00EE3416"/>
    <w:rsid w:val="00EE349E"/>
    <w:rsid w:val="00EE3532"/>
    <w:rsid w:val="00EE3674"/>
    <w:rsid w:val="00EE37B8"/>
    <w:rsid w:val="00EE37E6"/>
    <w:rsid w:val="00EE3876"/>
    <w:rsid w:val="00EE39C5"/>
    <w:rsid w:val="00EE3DA9"/>
    <w:rsid w:val="00EE407E"/>
    <w:rsid w:val="00EE4113"/>
    <w:rsid w:val="00EE4327"/>
    <w:rsid w:val="00EE4611"/>
    <w:rsid w:val="00EE4878"/>
    <w:rsid w:val="00EE48E7"/>
    <w:rsid w:val="00EE4CBE"/>
    <w:rsid w:val="00EE4E64"/>
    <w:rsid w:val="00EE4EE8"/>
    <w:rsid w:val="00EE5090"/>
    <w:rsid w:val="00EE5144"/>
    <w:rsid w:val="00EE51FF"/>
    <w:rsid w:val="00EE530E"/>
    <w:rsid w:val="00EE543A"/>
    <w:rsid w:val="00EE552F"/>
    <w:rsid w:val="00EE59D6"/>
    <w:rsid w:val="00EE5C3D"/>
    <w:rsid w:val="00EE5D7B"/>
    <w:rsid w:val="00EE5E30"/>
    <w:rsid w:val="00EE6038"/>
    <w:rsid w:val="00EE6393"/>
    <w:rsid w:val="00EE6829"/>
    <w:rsid w:val="00EE69D2"/>
    <w:rsid w:val="00EE6F65"/>
    <w:rsid w:val="00EE715F"/>
    <w:rsid w:val="00EE748D"/>
    <w:rsid w:val="00EE74AA"/>
    <w:rsid w:val="00EE774B"/>
    <w:rsid w:val="00EE79B9"/>
    <w:rsid w:val="00EE7C59"/>
    <w:rsid w:val="00EF014E"/>
    <w:rsid w:val="00EF070A"/>
    <w:rsid w:val="00EF0BF1"/>
    <w:rsid w:val="00EF0C46"/>
    <w:rsid w:val="00EF0CE5"/>
    <w:rsid w:val="00EF1507"/>
    <w:rsid w:val="00EF1AB5"/>
    <w:rsid w:val="00EF1D2F"/>
    <w:rsid w:val="00EF1DE2"/>
    <w:rsid w:val="00EF1FB0"/>
    <w:rsid w:val="00EF2036"/>
    <w:rsid w:val="00EF249E"/>
    <w:rsid w:val="00EF2C6E"/>
    <w:rsid w:val="00EF2E65"/>
    <w:rsid w:val="00EF2FB7"/>
    <w:rsid w:val="00EF3040"/>
    <w:rsid w:val="00EF341F"/>
    <w:rsid w:val="00EF353D"/>
    <w:rsid w:val="00EF3BCE"/>
    <w:rsid w:val="00EF4218"/>
    <w:rsid w:val="00EF46FF"/>
    <w:rsid w:val="00EF48D5"/>
    <w:rsid w:val="00EF4DC5"/>
    <w:rsid w:val="00EF526A"/>
    <w:rsid w:val="00EF5492"/>
    <w:rsid w:val="00EF5644"/>
    <w:rsid w:val="00EF635C"/>
    <w:rsid w:val="00EF6662"/>
    <w:rsid w:val="00EF6827"/>
    <w:rsid w:val="00EF6B38"/>
    <w:rsid w:val="00EF6B86"/>
    <w:rsid w:val="00EF6BF7"/>
    <w:rsid w:val="00EF6C24"/>
    <w:rsid w:val="00EF70DD"/>
    <w:rsid w:val="00EF7292"/>
    <w:rsid w:val="00EF7B33"/>
    <w:rsid w:val="00EF7C04"/>
    <w:rsid w:val="00EF7F72"/>
    <w:rsid w:val="00F00114"/>
    <w:rsid w:val="00F00195"/>
    <w:rsid w:val="00F001CC"/>
    <w:rsid w:val="00F0058B"/>
    <w:rsid w:val="00F00744"/>
    <w:rsid w:val="00F00D09"/>
    <w:rsid w:val="00F01061"/>
    <w:rsid w:val="00F010DE"/>
    <w:rsid w:val="00F0129B"/>
    <w:rsid w:val="00F01301"/>
    <w:rsid w:val="00F01346"/>
    <w:rsid w:val="00F014A9"/>
    <w:rsid w:val="00F01628"/>
    <w:rsid w:val="00F018BB"/>
    <w:rsid w:val="00F021C3"/>
    <w:rsid w:val="00F021FC"/>
    <w:rsid w:val="00F025CF"/>
    <w:rsid w:val="00F02CD8"/>
    <w:rsid w:val="00F02F4B"/>
    <w:rsid w:val="00F033E0"/>
    <w:rsid w:val="00F03514"/>
    <w:rsid w:val="00F037CA"/>
    <w:rsid w:val="00F03B2A"/>
    <w:rsid w:val="00F03CAE"/>
    <w:rsid w:val="00F03D55"/>
    <w:rsid w:val="00F03E09"/>
    <w:rsid w:val="00F03F79"/>
    <w:rsid w:val="00F042E6"/>
    <w:rsid w:val="00F04311"/>
    <w:rsid w:val="00F0478A"/>
    <w:rsid w:val="00F04F15"/>
    <w:rsid w:val="00F04F82"/>
    <w:rsid w:val="00F0525F"/>
    <w:rsid w:val="00F05B47"/>
    <w:rsid w:val="00F05D9E"/>
    <w:rsid w:val="00F0628A"/>
    <w:rsid w:val="00F062EF"/>
    <w:rsid w:val="00F06423"/>
    <w:rsid w:val="00F0683E"/>
    <w:rsid w:val="00F068BA"/>
    <w:rsid w:val="00F06982"/>
    <w:rsid w:val="00F069B0"/>
    <w:rsid w:val="00F06A72"/>
    <w:rsid w:val="00F06F49"/>
    <w:rsid w:val="00F06FAF"/>
    <w:rsid w:val="00F07A27"/>
    <w:rsid w:val="00F07B49"/>
    <w:rsid w:val="00F10030"/>
    <w:rsid w:val="00F100AD"/>
    <w:rsid w:val="00F10135"/>
    <w:rsid w:val="00F1026F"/>
    <w:rsid w:val="00F1098B"/>
    <w:rsid w:val="00F109E1"/>
    <w:rsid w:val="00F10B48"/>
    <w:rsid w:val="00F10C85"/>
    <w:rsid w:val="00F11352"/>
    <w:rsid w:val="00F11457"/>
    <w:rsid w:val="00F11A71"/>
    <w:rsid w:val="00F11C13"/>
    <w:rsid w:val="00F11D57"/>
    <w:rsid w:val="00F11FBB"/>
    <w:rsid w:val="00F12096"/>
    <w:rsid w:val="00F122E2"/>
    <w:rsid w:val="00F124A8"/>
    <w:rsid w:val="00F12DB0"/>
    <w:rsid w:val="00F12FD0"/>
    <w:rsid w:val="00F131C7"/>
    <w:rsid w:val="00F13373"/>
    <w:rsid w:val="00F135C8"/>
    <w:rsid w:val="00F13CC0"/>
    <w:rsid w:val="00F13D4A"/>
    <w:rsid w:val="00F13D4C"/>
    <w:rsid w:val="00F14114"/>
    <w:rsid w:val="00F14322"/>
    <w:rsid w:val="00F14A6F"/>
    <w:rsid w:val="00F14DD5"/>
    <w:rsid w:val="00F150F7"/>
    <w:rsid w:val="00F154FF"/>
    <w:rsid w:val="00F1570E"/>
    <w:rsid w:val="00F1630B"/>
    <w:rsid w:val="00F163E7"/>
    <w:rsid w:val="00F16404"/>
    <w:rsid w:val="00F16412"/>
    <w:rsid w:val="00F16429"/>
    <w:rsid w:val="00F1670A"/>
    <w:rsid w:val="00F1692D"/>
    <w:rsid w:val="00F16A8C"/>
    <w:rsid w:val="00F17466"/>
    <w:rsid w:val="00F17758"/>
    <w:rsid w:val="00F1778E"/>
    <w:rsid w:val="00F177C1"/>
    <w:rsid w:val="00F17809"/>
    <w:rsid w:val="00F17AC6"/>
    <w:rsid w:val="00F2027F"/>
    <w:rsid w:val="00F20D15"/>
    <w:rsid w:val="00F20DB9"/>
    <w:rsid w:val="00F21045"/>
    <w:rsid w:val="00F2129A"/>
    <w:rsid w:val="00F2145E"/>
    <w:rsid w:val="00F2168E"/>
    <w:rsid w:val="00F219F9"/>
    <w:rsid w:val="00F21BDA"/>
    <w:rsid w:val="00F221FE"/>
    <w:rsid w:val="00F222FD"/>
    <w:rsid w:val="00F22363"/>
    <w:rsid w:val="00F2260B"/>
    <w:rsid w:val="00F22885"/>
    <w:rsid w:val="00F22D81"/>
    <w:rsid w:val="00F231CB"/>
    <w:rsid w:val="00F23233"/>
    <w:rsid w:val="00F2324B"/>
    <w:rsid w:val="00F23387"/>
    <w:rsid w:val="00F234F6"/>
    <w:rsid w:val="00F23B35"/>
    <w:rsid w:val="00F23BFB"/>
    <w:rsid w:val="00F24A81"/>
    <w:rsid w:val="00F24A8C"/>
    <w:rsid w:val="00F2506F"/>
    <w:rsid w:val="00F25103"/>
    <w:rsid w:val="00F25CC6"/>
    <w:rsid w:val="00F25EF6"/>
    <w:rsid w:val="00F261A7"/>
    <w:rsid w:val="00F268D3"/>
    <w:rsid w:val="00F26C99"/>
    <w:rsid w:val="00F26D94"/>
    <w:rsid w:val="00F26ED7"/>
    <w:rsid w:val="00F276AB"/>
    <w:rsid w:val="00F2789D"/>
    <w:rsid w:val="00F27949"/>
    <w:rsid w:val="00F27E29"/>
    <w:rsid w:val="00F27E71"/>
    <w:rsid w:val="00F27F5F"/>
    <w:rsid w:val="00F30032"/>
    <w:rsid w:val="00F3035A"/>
    <w:rsid w:val="00F307A7"/>
    <w:rsid w:val="00F30876"/>
    <w:rsid w:val="00F30C60"/>
    <w:rsid w:val="00F30E52"/>
    <w:rsid w:val="00F30F0C"/>
    <w:rsid w:val="00F31302"/>
    <w:rsid w:val="00F31490"/>
    <w:rsid w:val="00F318F0"/>
    <w:rsid w:val="00F320A5"/>
    <w:rsid w:val="00F32134"/>
    <w:rsid w:val="00F324E6"/>
    <w:rsid w:val="00F3266B"/>
    <w:rsid w:val="00F326F2"/>
    <w:rsid w:val="00F32777"/>
    <w:rsid w:val="00F32966"/>
    <w:rsid w:val="00F32C20"/>
    <w:rsid w:val="00F32E8C"/>
    <w:rsid w:val="00F3317B"/>
    <w:rsid w:val="00F33D0D"/>
    <w:rsid w:val="00F33D5D"/>
    <w:rsid w:val="00F33E82"/>
    <w:rsid w:val="00F33E93"/>
    <w:rsid w:val="00F34359"/>
    <w:rsid w:val="00F343EA"/>
    <w:rsid w:val="00F347D0"/>
    <w:rsid w:val="00F347F5"/>
    <w:rsid w:val="00F35005"/>
    <w:rsid w:val="00F352E9"/>
    <w:rsid w:val="00F3597A"/>
    <w:rsid w:val="00F35CCD"/>
    <w:rsid w:val="00F35EF3"/>
    <w:rsid w:val="00F36121"/>
    <w:rsid w:val="00F36176"/>
    <w:rsid w:val="00F3633E"/>
    <w:rsid w:val="00F36809"/>
    <w:rsid w:val="00F36F15"/>
    <w:rsid w:val="00F3714E"/>
    <w:rsid w:val="00F371D9"/>
    <w:rsid w:val="00F372F2"/>
    <w:rsid w:val="00F374C7"/>
    <w:rsid w:val="00F37682"/>
    <w:rsid w:val="00F37AD4"/>
    <w:rsid w:val="00F37C71"/>
    <w:rsid w:val="00F37CD4"/>
    <w:rsid w:val="00F40578"/>
    <w:rsid w:val="00F40667"/>
    <w:rsid w:val="00F40711"/>
    <w:rsid w:val="00F409AD"/>
    <w:rsid w:val="00F40DD5"/>
    <w:rsid w:val="00F40E1C"/>
    <w:rsid w:val="00F416F6"/>
    <w:rsid w:val="00F41797"/>
    <w:rsid w:val="00F41C53"/>
    <w:rsid w:val="00F41CF8"/>
    <w:rsid w:val="00F41F93"/>
    <w:rsid w:val="00F4214F"/>
    <w:rsid w:val="00F421CE"/>
    <w:rsid w:val="00F42434"/>
    <w:rsid w:val="00F424C5"/>
    <w:rsid w:val="00F42A3B"/>
    <w:rsid w:val="00F42D42"/>
    <w:rsid w:val="00F42E91"/>
    <w:rsid w:val="00F4343D"/>
    <w:rsid w:val="00F43598"/>
    <w:rsid w:val="00F43890"/>
    <w:rsid w:val="00F43A37"/>
    <w:rsid w:val="00F43A5B"/>
    <w:rsid w:val="00F43B42"/>
    <w:rsid w:val="00F43CB9"/>
    <w:rsid w:val="00F43D3E"/>
    <w:rsid w:val="00F43DCF"/>
    <w:rsid w:val="00F43E76"/>
    <w:rsid w:val="00F44055"/>
    <w:rsid w:val="00F44633"/>
    <w:rsid w:val="00F44776"/>
    <w:rsid w:val="00F448BC"/>
    <w:rsid w:val="00F44A1B"/>
    <w:rsid w:val="00F44C8F"/>
    <w:rsid w:val="00F45001"/>
    <w:rsid w:val="00F4540B"/>
    <w:rsid w:val="00F45587"/>
    <w:rsid w:val="00F45BC1"/>
    <w:rsid w:val="00F45C90"/>
    <w:rsid w:val="00F45CB7"/>
    <w:rsid w:val="00F45D70"/>
    <w:rsid w:val="00F45E9D"/>
    <w:rsid w:val="00F45F2E"/>
    <w:rsid w:val="00F4608D"/>
    <w:rsid w:val="00F465DA"/>
    <w:rsid w:val="00F467EB"/>
    <w:rsid w:val="00F468BF"/>
    <w:rsid w:val="00F46D05"/>
    <w:rsid w:val="00F46D60"/>
    <w:rsid w:val="00F4719B"/>
    <w:rsid w:val="00F471E5"/>
    <w:rsid w:val="00F47231"/>
    <w:rsid w:val="00F47275"/>
    <w:rsid w:val="00F472E3"/>
    <w:rsid w:val="00F47355"/>
    <w:rsid w:val="00F475C9"/>
    <w:rsid w:val="00F47A6B"/>
    <w:rsid w:val="00F47BDC"/>
    <w:rsid w:val="00F47D06"/>
    <w:rsid w:val="00F47D2E"/>
    <w:rsid w:val="00F502AD"/>
    <w:rsid w:val="00F506C9"/>
    <w:rsid w:val="00F50755"/>
    <w:rsid w:val="00F50804"/>
    <w:rsid w:val="00F50A08"/>
    <w:rsid w:val="00F50C20"/>
    <w:rsid w:val="00F50DD8"/>
    <w:rsid w:val="00F5105F"/>
    <w:rsid w:val="00F51971"/>
    <w:rsid w:val="00F51B1E"/>
    <w:rsid w:val="00F51B66"/>
    <w:rsid w:val="00F51E95"/>
    <w:rsid w:val="00F522DF"/>
    <w:rsid w:val="00F52777"/>
    <w:rsid w:val="00F527E8"/>
    <w:rsid w:val="00F528AC"/>
    <w:rsid w:val="00F529F9"/>
    <w:rsid w:val="00F52A76"/>
    <w:rsid w:val="00F52FC7"/>
    <w:rsid w:val="00F535A9"/>
    <w:rsid w:val="00F5375A"/>
    <w:rsid w:val="00F537DC"/>
    <w:rsid w:val="00F53947"/>
    <w:rsid w:val="00F53DD9"/>
    <w:rsid w:val="00F53F21"/>
    <w:rsid w:val="00F53FDD"/>
    <w:rsid w:val="00F542B4"/>
    <w:rsid w:val="00F5431E"/>
    <w:rsid w:val="00F5454B"/>
    <w:rsid w:val="00F54576"/>
    <w:rsid w:val="00F5478C"/>
    <w:rsid w:val="00F54A30"/>
    <w:rsid w:val="00F54A3A"/>
    <w:rsid w:val="00F54B92"/>
    <w:rsid w:val="00F54D35"/>
    <w:rsid w:val="00F550E8"/>
    <w:rsid w:val="00F550FD"/>
    <w:rsid w:val="00F55140"/>
    <w:rsid w:val="00F552DC"/>
    <w:rsid w:val="00F55358"/>
    <w:rsid w:val="00F5587D"/>
    <w:rsid w:val="00F55D47"/>
    <w:rsid w:val="00F5601B"/>
    <w:rsid w:val="00F56475"/>
    <w:rsid w:val="00F5669E"/>
    <w:rsid w:val="00F5689F"/>
    <w:rsid w:val="00F56AE2"/>
    <w:rsid w:val="00F56B1B"/>
    <w:rsid w:val="00F56C95"/>
    <w:rsid w:val="00F57152"/>
    <w:rsid w:val="00F571F3"/>
    <w:rsid w:val="00F57477"/>
    <w:rsid w:val="00F579DB"/>
    <w:rsid w:val="00F57B32"/>
    <w:rsid w:val="00F57BE0"/>
    <w:rsid w:val="00F57CDD"/>
    <w:rsid w:val="00F60399"/>
    <w:rsid w:val="00F609A7"/>
    <w:rsid w:val="00F60B2B"/>
    <w:rsid w:val="00F60BC7"/>
    <w:rsid w:val="00F60F25"/>
    <w:rsid w:val="00F614F1"/>
    <w:rsid w:val="00F615DF"/>
    <w:rsid w:val="00F6184F"/>
    <w:rsid w:val="00F61980"/>
    <w:rsid w:val="00F61E04"/>
    <w:rsid w:val="00F620EC"/>
    <w:rsid w:val="00F62ADD"/>
    <w:rsid w:val="00F634BF"/>
    <w:rsid w:val="00F6370B"/>
    <w:rsid w:val="00F638CB"/>
    <w:rsid w:val="00F63969"/>
    <w:rsid w:val="00F6397E"/>
    <w:rsid w:val="00F640C4"/>
    <w:rsid w:val="00F64344"/>
    <w:rsid w:val="00F6443D"/>
    <w:rsid w:val="00F6447B"/>
    <w:rsid w:val="00F6479D"/>
    <w:rsid w:val="00F648C6"/>
    <w:rsid w:val="00F64F29"/>
    <w:rsid w:val="00F6541A"/>
    <w:rsid w:val="00F657E6"/>
    <w:rsid w:val="00F65B7F"/>
    <w:rsid w:val="00F65DCE"/>
    <w:rsid w:val="00F6614F"/>
    <w:rsid w:val="00F66572"/>
    <w:rsid w:val="00F668A2"/>
    <w:rsid w:val="00F66B29"/>
    <w:rsid w:val="00F67264"/>
    <w:rsid w:val="00F674B6"/>
    <w:rsid w:val="00F67864"/>
    <w:rsid w:val="00F67F76"/>
    <w:rsid w:val="00F70129"/>
    <w:rsid w:val="00F70156"/>
    <w:rsid w:val="00F7042C"/>
    <w:rsid w:val="00F70442"/>
    <w:rsid w:val="00F704ED"/>
    <w:rsid w:val="00F70582"/>
    <w:rsid w:val="00F70712"/>
    <w:rsid w:val="00F70713"/>
    <w:rsid w:val="00F7080F"/>
    <w:rsid w:val="00F70961"/>
    <w:rsid w:val="00F70BB4"/>
    <w:rsid w:val="00F70E7E"/>
    <w:rsid w:val="00F713F4"/>
    <w:rsid w:val="00F7182A"/>
    <w:rsid w:val="00F7285B"/>
    <w:rsid w:val="00F72B2B"/>
    <w:rsid w:val="00F72C9B"/>
    <w:rsid w:val="00F72E9D"/>
    <w:rsid w:val="00F73194"/>
    <w:rsid w:val="00F73683"/>
    <w:rsid w:val="00F73B18"/>
    <w:rsid w:val="00F73C62"/>
    <w:rsid w:val="00F73D32"/>
    <w:rsid w:val="00F742CC"/>
    <w:rsid w:val="00F744EB"/>
    <w:rsid w:val="00F74506"/>
    <w:rsid w:val="00F74A89"/>
    <w:rsid w:val="00F74FA9"/>
    <w:rsid w:val="00F75071"/>
    <w:rsid w:val="00F7516F"/>
    <w:rsid w:val="00F751C7"/>
    <w:rsid w:val="00F751E9"/>
    <w:rsid w:val="00F756AF"/>
    <w:rsid w:val="00F759BA"/>
    <w:rsid w:val="00F75DAC"/>
    <w:rsid w:val="00F75EB0"/>
    <w:rsid w:val="00F76578"/>
    <w:rsid w:val="00F7667F"/>
    <w:rsid w:val="00F76E21"/>
    <w:rsid w:val="00F76E5D"/>
    <w:rsid w:val="00F76F4C"/>
    <w:rsid w:val="00F771D0"/>
    <w:rsid w:val="00F77661"/>
    <w:rsid w:val="00F776FC"/>
    <w:rsid w:val="00F77769"/>
    <w:rsid w:val="00F779AE"/>
    <w:rsid w:val="00F800BC"/>
    <w:rsid w:val="00F801A4"/>
    <w:rsid w:val="00F801E0"/>
    <w:rsid w:val="00F80559"/>
    <w:rsid w:val="00F80792"/>
    <w:rsid w:val="00F808E4"/>
    <w:rsid w:val="00F80E04"/>
    <w:rsid w:val="00F80F5C"/>
    <w:rsid w:val="00F81526"/>
    <w:rsid w:val="00F8169C"/>
    <w:rsid w:val="00F81711"/>
    <w:rsid w:val="00F818E7"/>
    <w:rsid w:val="00F81A20"/>
    <w:rsid w:val="00F81DA2"/>
    <w:rsid w:val="00F820A3"/>
    <w:rsid w:val="00F821BB"/>
    <w:rsid w:val="00F827D0"/>
    <w:rsid w:val="00F82886"/>
    <w:rsid w:val="00F82A47"/>
    <w:rsid w:val="00F82B81"/>
    <w:rsid w:val="00F831E8"/>
    <w:rsid w:val="00F83204"/>
    <w:rsid w:val="00F8331D"/>
    <w:rsid w:val="00F83BAB"/>
    <w:rsid w:val="00F8474E"/>
    <w:rsid w:val="00F8481D"/>
    <w:rsid w:val="00F84EB1"/>
    <w:rsid w:val="00F84FD4"/>
    <w:rsid w:val="00F8525C"/>
    <w:rsid w:val="00F85489"/>
    <w:rsid w:val="00F85C0E"/>
    <w:rsid w:val="00F86079"/>
    <w:rsid w:val="00F86361"/>
    <w:rsid w:val="00F863DF"/>
    <w:rsid w:val="00F86419"/>
    <w:rsid w:val="00F865B4"/>
    <w:rsid w:val="00F865C4"/>
    <w:rsid w:val="00F8665C"/>
    <w:rsid w:val="00F86B64"/>
    <w:rsid w:val="00F87085"/>
    <w:rsid w:val="00F8749D"/>
    <w:rsid w:val="00F874C0"/>
    <w:rsid w:val="00F87602"/>
    <w:rsid w:val="00F87611"/>
    <w:rsid w:val="00F8782C"/>
    <w:rsid w:val="00F8790C"/>
    <w:rsid w:val="00F87A00"/>
    <w:rsid w:val="00F87B19"/>
    <w:rsid w:val="00F87D02"/>
    <w:rsid w:val="00F87E5C"/>
    <w:rsid w:val="00F900FD"/>
    <w:rsid w:val="00F90249"/>
    <w:rsid w:val="00F902DA"/>
    <w:rsid w:val="00F90479"/>
    <w:rsid w:val="00F9072F"/>
    <w:rsid w:val="00F90884"/>
    <w:rsid w:val="00F90C58"/>
    <w:rsid w:val="00F90DC5"/>
    <w:rsid w:val="00F91025"/>
    <w:rsid w:val="00F91BE9"/>
    <w:rsid w:val="00F91D0D"/>
    <w:rsid w:val="00F921A3"/>
    <w:rsid w:val="00F92F82"/>
    <w:rsid w:val="00F9325A"/>
    <w:rsid w:val="00F937CA"/>
    <w:rsid w:val="00F937D3"/>
    <w:rsid w:val="00F93B27"/>
    <w:rsid w:val="00F93B79"/>
    <w:rsid w:val="00F93BB4"/>
    <w:rsid w:val="00F93DD7"/>
    <w:rsid w:val="00F94117"/>
    <w:rsid w:val="00F941FF"/>
    <w:rsid w:val="00F94401"/>
    <w:rsid w:val="00F944E1"/>
    <w:rsid w:val="00F9460B"/>
    <w:rsid w:val="00F946ED"/>
    <w:rsid w:val="00F95161"/>
    <w:rsid w:val="00F9535D"/>
    <w:rsid w:val="00F954A5"/>
    <w:rsid w:val="00F95921"/>
    <w:rsid w:val="00F95941"/>
    <w:rsid w:val="00F959A4"/>
    <w:rsid w:val="00F95E44"/>
    <w:rsid w:val="00F9647C"/>
    <w:rsid w:val="00F96638"/>
    <w:rsid w:val="00F96DAA"/>
    <w:rsid w:val="00F96E8C"/>
    <w:rsid w:val="00F978EA"/>
    <w:rsid w:val="00F97A6C"/>
    <w:rsid w:val="00F97BA6"/>
    <w:rsid w:val="00F97F2A"/>
    <w:rsid w:val="00FA069F"/>
    <w:rsid w:val="00FA06BD"/>
    <w:rsid w:val="00FA079F"/>
    <w:rsid w:val="00FA0884"/>
    <w:rsid w:val="00FA08C1"/>
    <w:rsid w:val="00FA0907"/>
    <w:rsid w:val="00FA09EA"/>
    <w:rsid w:val="00FA09F0"/>
    <w:rsid w:val="00FA0A67"/>
    <w:rsid w:val="00FA0C3B"/>
    <w:rsid w:val="00FA1397"/>
    <w:rsid w:val="00FA14FF"/>
    <w:rsid w:val="00FA1CCB"/>
    <w:rsid w:val="00FA25AA"/>
    <w:rsid w:val="00FA3131"/>
    <w:rsid w:val="00FA3427"/>
    <w:rsid w:val="00FA3650"/>
    <w:rsid w:val="00FA3758"/>
    <w:rsid w:val="00FA378D"/>
    <w:rsid w:val="00FA37ED"/>
    <w:rsid w:val="00FA3AD2"/>
    <w:rsid w:val="00FA41C2"/>
    <w:rsid w:val="00FA4390"/>
    <w:rsid w:val="00FA4398"/>
    <w:rsid w:val="00FA441B"/>
    <w:rsid w:val="00FA49B8"/>
    <w:rsid w:val="00FA4B28"/>
    <w:rsid w:val="00FA4BFB"/>
    <w:rsid w:val="00FA4D58"/>
    <w:rsid w:val="00FA5301"/>
    <w:rsid w:val="00FA5526"/>
    <w:rsid w:val="00FA56B4"/>
    <w:rsid w:val="00FA5819"/>
    <w:rsid w:val="00FA583B"/>
    <w:rsid w:val="00FA58E0"/>
    <w:rsid w:val="00FA5910"/>
    <w:rsid w:val="00FA5F6D"/>
    <w:rsid w:val="00FA62AB"/>
    <w:rsid w:val="00FA653F"/>
    <w:rsid w:val="00FA65C1"/>
    <w:rsid w:val="00FA66CE"/>
    <w:rsid w:val="00FA67FF"/>
    <w:rsid w:val="00FA69FB"/>
    <w:rsid w:val="00FA6A7D"/>
    <w:rsid w:val="00FA6E87"/>
    <w:rsid w:val="00FA75AD"/>
    <w:rsid w:val="00FA78A1"/>
    <w:rsid w:val="00FA7AEA"/>
    <w:rsid w:val="00FA7B4C"/>
    <w:rsid w:val="00FA7DE3"/>
    <w:rsid w:val="00FA7F5E"/>
    <w:rsid w:val="00FA7F74"/>
    <w:rsid w:val="00FB0001"/>
    <w:rsid w:val="00FB0516"/>
    <w:rsid w:val="00FB0757"/>
    <w:rsid w:val="00FB07E9"/>
    <w:rsid w:val="00FB0AD5"/>
    <w:rsid w:val="00FB0D15"/>
    <w:rsid w:val="00FB0F48"/>
    <w:rsid w:val="00FB122F"/>
    <w:rsid w:val="00FB1256"/>
    <w:rsid w:val="00FB13AC"/>
    <w:rsid w:val="00FB19EF"/>
    <w:rsid w:val="00FB1CA2"/>
    <w:rsid w:val="00FB21C7"/>
    <w:rsid w:val="00FB268A"/>
    <w:rsid w:val="00FB2BD0"/>
    <w:rsid w:val="00FB3099"/>
    <w:rsid w:val="00FB33F3"/>
    <w:rsid w:val="00FB3447"/>
    <w:rsid w:val="00FB35CC"/>
    <w:rsid w:val="00FB3BB7"/>
    <w:rsid w:val="00FB3EAB"/>
    <w:rsid w:val="00FB3FE3"/>
    <w:rsid w:val="00FB43C6"/>
    <w:rsid w:val="00FB4772"/>
    <w:rsid w:val="00FB48B6"/>
    <w:rsid w:val="00FB492F"/>
    <w:rsid w:val="00FB4A4C"/>
    <w:rsid w:val="00FB5311"/>
    <w:rsid w:val="00FB5A48"/>
    <w:rsid w:val="00FB5B8D"/>
    <w:rsid w:val="00FB5E64"/>
    <w:rsid w:val="00FB5F43"/>
    <w:rsid w:val="00FB6624"/>
    <w:rsid w:val="00FB679A"/>
    <w:rsid w:val="00FB6CA6"/>
    <w:rsid w:val="00FB6D09"/>
    <w:rsid w:val="00FB6D73"/>
    <w:rsid w:val="00FB6FAE"/>
    <w:rsid w:val="00FB70D4"/>
    <w:rsid w:val="00FB7395"/>
    <w:rsid w:val="00FC0592"/>
    <w:rsid w:val="00FC08EF"/>
    <w:rsid w:val="00FC1045"/>
    <w:rsid w:val="00FC11B5"/>
    <w:rsid w:val="00FC1280"/>
    <w:rsid w:val="00FC12FC"/>
    <w:rsid w:val="00FC1413"/>
    <w:rsid w:val="00FC1498"/>
    <w:rsid w:val="00FC15D6"/>
    <w:rsid w:val="00FC164D"/>
    <w:rsid w:val="00FC172C"/>
    <w:rsid w:val="00FC1CAB"/>
    <w:rsid w:val="00FC1D29"/>
    <w:rsid w:val="00FC1F17"/>
    <w:rsid w:val="00FC1F26"/>
    <w:rsid w:val="00FC23D7"/>
    <w:rsid w:val="00FC243B"/>
    <w:rsid w:val="00FC2460"/>
    <w:rsid w:val="00FC2642"/>
    <w:rsid w:val="00FC27F3"/>
    <w:rsid w:val="00FC2809"/>
    <w:rsid w:val="00FC2B7D"/>
    <w:rsid w:val="00FC2E66"/>
    <w:rsid w:val="00FC382C"/>
    <w:rsid w:val="00FC3A1D"/>
    <w:rsid w:val="00FC3C15"/>
    <w:rsid w:val="00FC401B"/>
    <w:rsid w:val="00FC41A6"/>
    <w:rsid w:val="00FC423E"/>
    <w:rsid w:val="00FC4315"/>
    <w:rsid w:val="00FC43E3"/>
    <w:rsid w:val="00FC4B87"/>
    <w:rsid w:val="00FC4E9D"/>
    <w:rsid w:val="00FC4EB1"/>
    <w:rsid w:val="00FC4F2F"/>
    <w:rsid w:val="00FC4F3C"/>
    <w:rsid w:val="00FC4F76"/>
    <w:rsid w:val="00FC50F3"/>
    <w:rsid w:val="00FC5171"/>
    <w:rsid w:val="00FC5260"/>
    <w:rsid w:val="00FC5500"/>
    <w:rsid w:val="00FC56A1"/>
    <w:rsid w:val="00FC5A8E"/>
    <w:rsid w:val="00FC5BC8"/>
    <w:rsid w:val="00FC5C88"/>
    <w:rsid w:val="00FC5E8B"/>
    <w:rsid w:val="00FC70C2"/>
    <w:rsid w:val="00FC7110"/>
    <w:rsid w:val="00FC75BF"/>
    <w:rsid w:val="00FC78B4"/>
    <w:rsid w:val="00FC7C3B"/>
    <w:rsid w:val="00FD09BE"/>
    <w:rsid w:val="00FD09F8"/>
    <w:rsid w:val="00FD0B12"/>
    <w:rsid w:val="00FD0E16"/>
    <w:rsid w:val="00FD11C1"/>
    <w:rsid w:val="00FD11CD"/>
    <w:rsid w:val="00FD11E0"/>
    <w:rsid w:val="00FD12F6"/>
    <w:rsid w:val="00FD13E9"/>
    <w:rsid w:val="00FD140C"/>
    <w:rsid w:val="00FD150D"/>
    <w:rsid w:val="00FD18CC"/>
    <w:rsid w:val="00FD1937"/>
    <w:rsid w:val="00FD1DE8"/>
    <w:rsid w:val="00FD1F8D"/>
    <w:rsid w:val="00FD2008"/>
    <w:rsid w:val="00FD21F0"/>
    <w:rsid w:val="00FD23B4"/>
    <w:rsid w:val="00FD2614"/>
    <w:rsid w:val="00FD289F"/>
    <w:rsid w:val="00FD292D"/>
    <w:rsid w:val="00FD2A30"/>
    <w:rsid w:val="00FD2CD8"/>
    <w:rsid w:val="00FD3234"/>
    <w:rsid w:val="00FD329F"/>
    <w:rsid w:val="00FD36AC"/>
    <w:rsid w:val="00FD3B53"/>
    <w:rsid w:val="00FD3EE1"/>
    <w:rsid w:val="00FD42EC"/>
    <w:rsid w:val="00FD457F"/>
    <w:rsid w:val="00FD4955"/>
    <w:rsid w:val="00FD4A71"/>
    <w:rsid w:val="00FD4AC9"/>
    <w:rsid w:val="00FD4DA5"/>
    <w:rsid w:val="00FD502E"/>
    <w:rsid w:val="00FD52EC"/>
    <w:rsid w:val="00FD54A6"/>
    <w:rsid w:val="00FD560D"/>
    <w:rsid w:val="00FD5676"/>
    <w:rsid w:val="00FD5B17"/>
    <w:rsid w:val="00FD5E22"/>
    <w:rsid w:val="00FD5EBC"/>
    <w:rsid w:val="00FD5F93"/>
    <w:rsid w:val="00FD5FD8"/>
    <w:rsid w:val="00FD6113"/>
    <w:rsid w:val="00FD64C0"/>
    <w:rsid w:val="00FD6679"/>
    <w:rsid w:val="00FD6B28"/>
    <w:rsid w:val="00FD6B5D"/>
    <w:rsid w:val="00FD6BC8"/>
    <w:rsid w:val="00FD6FB5"/>
    <w:rsid w:val="00FD7106"/>
    <w:rsid w:val="00FD7269"/>
    <w:rsid w:val="00FD772C"/>
    <w:rsid w:val="00FD7793"/>
    <w:rsid w:val="00FD7835"/>
    <w:rsid w:val="00FD7A2B"/>
    <w:rsid w:val="00FD7C63"/>
    <w:rsid w:val="00FE01A8"/>
    <w:rsid w:val="00FE03D3"/>
    <w:rsid w:val="00FE0538"/>
    <w:rsid w:val="00FE05FC"/>
    <w:rsid w:val="00FE0724"/>
    <w:rsid w:val="00FE091F"/>
    <w:rsid w:val="00FE0A3C"/>
    <w:rsid w:val="00FE0BD3"/>
    <w:rsid w:val="00FE0D9F"/>
    <w:rsid w:val="00FE10A6"/>
    <w:rsid w:val="00FE144D"/>
    <w:rsid w:val="00FE19C9"/>
    <w:rsid w:val="00FE2476"/>
    <w:rsid w:val="00FE28BD"/>
    <w:rsid w:val="00FE318E"/>
    <w:rsid w:val="00FE3260"/>
    <w:rsid w:val="00FE38E5"/>
    <w:rsid w:val="00FE3C77"/>
    <w:rsid w:val="00FE3C8F"/>
    <w:rsid w:val="00FE3DFB"/>
    <w:rsid w:val="00FE3E70"/>
    <w:rsid w:val="00FE47BF"/>
    <w:rsid w:val="00FE498C"/>
    <w:rsid w:val="00FE49DB"/>
    <w:rsid w:val="00FE4DC3"/>
    <w:rsid w:val="00FE519A"/>
    <w:rsid w:val="00FE553B"/>
    <w:rsid w:val="00FE57A8"/>
    <w:rsid w:val="00FE5826"/>
    <w:rsid w:val="00FE5F2F"/>
    <w:rsid w:val="00FE5FB3"/>
    <w:rsid w:val="00FE5FCC"/>
    <w:rsid w:val="00FE6165"/>
    <w:rsid w:val="00FE6439"/>
    <w:rsid w:val="00FE6543"/>
    <w:rsid w:val="00FE6620"/>
    <w:rsid w:val="00FE6728"/>
    <w:rsid w:val="00FE6BE9"/>
    <w:rsid w:val="00FE6E04"/>
    <w:rsid w:val="00FE6EA5"/>
    <w:rsid w:val="00FE7049"/>
    <w:rsid w:val="00FE71E7"/>
    <w:rsid w:val="00FE73AD"/>
    <w:rsid w:val="00FE754F"/>
    <w:rsid w:val="00FE77B5"/>
    <w:rsid w:val="00FE7976"/>
    <w:rsid w:val="00FE7EE4"/>
    <w:rsid w:val="00FF0557"/>
    <w:rsid w:val="00FF0694"/>
    <w:rsid w:val="00FF096B"/>
    <w:rsid w:val="00FF0B2A"/>
    <w:rsid w:val="00FF0F91"/>
    <w:rsid w:val="00FF1535"/>
    <w:rsid w:val="00FF155A"/>
    <w:rsid w:val="00FF16FF"/>
    <w:rsid w:val="00FF2025"/>
    <w:rsid w:val="00FF2575"/>
    <w:rsid w:val="00FF2680"/>
    <w:rsid w:val="00FF2AA8"/>
    <w:rsid w:val="00FF31BA"/>
    <w:rsid w:val="00FF338B"/>
    <w:rsid w:val="00FF36AD"/>
    <w:rsid w:val="00FF36CC"/>
    <w:rsid w:val="00FF3C93"/>
    <w:rsid w:val="00FF3FF6"/>
    <w:rsid w:val="00FF43FB"/>
    <w:rsid w:val="00FF4A2F"/>
    <w:rsid w:val="00FF4EEC"/>
    <w:rsid w:val="00FF4F51"/>
    <w:rsid w:val="00FF54A7"/>
    <w:rsid w:val="00FF54CD"/>
    <w:rsid w:val="00FF5DE2"/>
    <w:rsid w:val="00FF6029"/>
    <w:rsid w:val="00FF6070"/>
    <w:rsid w:val="00FF6378"/>
    <w:rsid w:val="00FF64BF"/>
    <w:rsid w:val="00FF66D0"/>
    <w:rsid w:val="00FF71A0"/>
    <w:rsid w:val="00FF71E2"/>
    <w:rsid w:val="00FF7228"/>
    <w:rsid w:val="00FF7B7F"/>
    <w:rsid w:val="00FF7C40"/>
    <w:rsid w:val="00FF7F5E"/>
    <w:rsid w:val="2C8B25F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33BE81E1"/>
  <w14:defaultImageDpi w14:val="32767"/>
  <w15:docId w15:val="{CC4BAC7F-48BD-4F28-9BEE-74D123014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qFormat="1"/>
    <w:lsdException w:name="page number" w:semiHidden="1" w:unhideWhenUsed="1"/>
    <w:lsdException w:name="endnote reference" w:semiHidden="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wordWrap w:val="0"/>
      <w:autoSpaceDE w:val="0"/>
      <w:autoSpaceDN w:val="0"/>
      <w:spacing w:after="160" w:line="259" w:lineRule="auto"/>
      <w:jc w:val="both"/>
    </w:pPr>
    <w:rPr>
      <w:kern w:val="2"/>
      <w:szCs w:val="22"/>
      <w:lang w:eastAsia="ko-KR"/>
    </w:rPr>
  </w:style>
  <w:style w:type="paragraph" w:styleId="Heading10">
    <w:name w:val="heading 1"/>
    <w:basedOn w:val="Normal"/>
    <w:next w:val="Normal"/>
    <w:link w:val="Heading1Char"/>
    <w:uiPriority w:val="9"/>
    <w:qFormat/>
    <w:pPr>
      <w:keepNext/>
      <w:outlineLvl w:val="0"/>
    </w:pPr>
    <w:rPr>
      <w:rFonts w:asciiTheme="majorHAnsi" w:eastAsiaTheme="majorEastAsia" w:hAnsiTheme="majorHAnsi" w:cstheme="majorBidi"/>
      <w:sz w:val="28"/>
      <w:szCs w:val="28"/>
    </w:rPr>
  </w:style>
  <w:style w:type="paragraph" w:styleId="Heading20">
    <w:name w:val="heading 2"/>
    <w:basedOn w:val="Normal"/>
    <w:next w:val="Normal"/>
    <w:link w:val="Heading2Char"/>
    <w:uiPriority w:val="9"/>
    <w:semiHidden/>
    <w:unhideWhenUsed/>
    <w:qFormat/>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semiHidden/>
    <w:unhideWhenUsed/>
    <w:qFormat/>
    <w:pPr>
      <w:keepNext/>
      <w:ind w:leftChars="300" w:left="300" w:hangingChars="200" w:hanging="2000"/>
      <w:outlineLvl w:val="2"/>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keepLines/>
      <w:spacing w:before="80" w:after="40"/>
      <w:ind w:leftChars="200" w:left="200"/>
      <w:outlineLvl w:val="5"/>
    </w:pPr>
    <w:rPr>
      <w:rFonts w:asciiTheme="majorHAnsi" w:eastAsiaTheme="majorEastAsia" w:hAnsiTheme="majorHAnsi" w:cstheme="majorBidi"/>
      <w:color w:val="000000" w:themeColor="text1"/>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Cs w:val="20"/>
    </w:rPr>
  </w:style>
  <w:style w:type="paragraph" w:styleId="CommentText">
    <w:name w:val="annotation text"/>
    <w:basedOn w:val="Normal"/>
    <w:link w:val="CommentTextChar"/>
    <w:uiPriority w:val="99"/>
    <w:unhideWhenUsed/>
    <w:qFormat/>
    <w:pPr>
      <w:spacing w:line="240" w:lineRule="auto"/>
    </w:pPr>
    <w:rPr>
      <w:szCs w:val="20"/>
    </w:rPr>
  </w:style>
  <w:style w:type="paragraph" w:styleId="BalloonText">
    <w:name w:val="Balloon Text"/>
    <w:basedOn w:val="Normal"/>
    <w:link w:val="BalloonTextChar"/>
    <w:uiPriority w:val="99"/>
    <w:semiHidden/>
    <w:unhideWhenUsed/>
    <w:pPr>
      <w:spacing w:after="0" w:line="240" w:lineRule="auto"/>
    </w:pPr>
    <w:rPr>
      <w:rFonts w:asciiTheme="majorHAnsi" w:eastAsiaTheme="majorEastAsia" w:hAnsiTheme="majorHAnsi" w:cstheme="majorBidi"/>
      <w:sz w:val="18"/>
      <w:szCs w:val="18"/>
    </w:rPr>
  </w:style>
  <w:style w:type="paragraph" w:styleId="Footer">
    <w:name w:val="footer"/>
    <w:basedOn w:val="Normal"/>
    <w:link w:val="FooterChar"/>
    <w:uiPriority w:val="99"/>
    <w:unhideWhenUsed/>
    <w:pPr>
      <w:tabs>
        <w:tab w:val="center" w:pos="4513"/>
        <w:tab w:val="right" w:pos="9026"/>
      </w:tabs>
      <w:snapToGrid w:val="0"/>
    </w:pPr>
  </w:style>
  <w:style w:type="paragraph" w:styleId="Header">
    <w:name w:val="header"/>
    <w:basedOn w:val="Normal"/>
    <w:link w:val="HeaderChar"/>
    <w:uiPriority w:val="99"/>
    <w:unhideWhenUsed/>
    <w:qFormat/>
    <w:pPr>
      <w:tabs>
        <w:tab w:val="center" w:pos="4513"/>
        <w:tab w:val="right" w:pos="9026"/>
      </w:tabs>
      <w:snapToGrid w:val="0"/>
    </w:pPr>
  </w:style>
  <w:style w:type="paragraph" w:styleId="NormalWeb">
    <w:name w:val="Normal (Web)"/>
    <w:basedOn w:val="Normal"/>
    <w:uiPriority w:val="99"/>
    <w:unhideWhenUsed/>
    <w:pPr>
      <w:widowControl/>
      <w:wordWrap/>
      <w:autoSpaceDE/>
      <w:autoSpaceDN/>
      <w:spacing w:before="100" w:beforeAutospacing="1" w:after="100" w:afterAutospacing="1" w:line="240" w:lineRule="auto"/>
      <w:jc w:val="left"/>
    </w:pPr>
    <w:rPr>
      <w:rFonts w:ascii="Gulim" w:eastAsia="Gulim" w:hAnsi="Gulim" w:cs="Gulim"/>
      <w:kern w:val="0"/>
      <w:sz w:val="24"/>
      <w:szCs w:val="24"/>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semiHidden/>
    <w:rPr>
      <w:vertAlign w:val="superscript"/>
    </w:rPr>
  </w:style>
  <w:style w:type="character" w:styleId="LineNumber">
    <w:name w:val="line number"/>
    <w:basedOn w:val="DefaultParagraphFont"/>
    <w:uiPriority w:val="99"/>
    <w:semiHidden/>
    <w:unhideWhenUsed/>
    <w:qFormat/>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paragraph" w:styleId="ListParagraph">
    <w:name w:val="List Paragraph"/>
    <w:basedOn w:val="Normal"/>
    <w:uiPriority w:val="34"/>
    <w:qFormat/>
    <w:pPr>
      <w:ind w:leftChars="400" w:left="800"/>
    </w:pPr>
  </w:style>
  <w:style w:type="paragraph" w:customStyle="1" w:styleId="heading1">
    <w:name w:val="heading1"/>
    <w:basedOn w:val="Normal"/>
    <w:next w:val="p1a"/>
    <w:qFormat/>
    <w:pPr>
      <w:keepNext/>
      <w:keepLines/>
      <w:widowControl/>
      <w:numPr>
        <w:numId w:val="1"/>
      </w:numPr>
      <w:suppressAutoHyphens/>
      <w:wordWrap/>
      <w:overflowPunct w:val="0"/>
      <w:adjustRightInd w:val="0"/>
      <w:spacing w:before="360" w:after="240" w:line="300" w:lineRule="atLeast"/>
      <w:jc w:val="left"/>
      <w:textAlignment w:val="baseline"/>
      <w:outlineLvl w:val="0"/>
    </w:pPr>
    <w:rPr>
      <w:rFonts w:ascii="Times New Roman" w:eastAsia="Times New Roman" w:hAnsi="Times New Roman" w:cs="Times New Roman"/>
      <w:b/>
      <w:kern w:val="0"/>
      <w:sz w:val="24"/>
      <w:szCs w:val="20"/>
      <w:lang w:eastAsia="en-US"/>
    </w:rPr>
  </w:style>
  <w:style w:type="paragraph" w:customStyle="1" w:styleId="p1a">
    <w:name w:val="p1a"/>
    <w:basedOn w:val="Normal"/>
    <w:next w:val="Normal"/>
    <w:qFormat/>
    <w:pPr>
      <w:widowControl/>
      <w:wordWrap/>
      <w:overflowPunct w:val="0"/>
      <w:adjustRightInd w:val="0"/>
      <w:spacing w:after="0" w:line="240" w:lineRule="atLeast"/>
      <w:textAlignment w:val="baseline"/>
    </w:pPr>
    <w:rPr>
      <w:rFonts w:ascii="Times New Roman" w:eastAsia="Times New Roman" w:hAnsi="Times New Roman" w:cs="Times New Roman"/>
      <w:kern w:val="0"/>
      <w:szCs w:val="20"/>
      <w:lang w:eastAsia="en-US"/>
    </w:rPr>
  </w:style>
  <w:style w:type="paragraph" w:customStyle="1" w:styleId="heading2">
    <w:name w:val="heading2"/>
    <w:basedOn w:val="Normal"/>
    <w:next w:val="p1a"/>
    <w:qFormat/>
    <w:pPr>
      <w:keepNext/>
      <w:keepLines/>
      <w:widowControl/>
      <w:numPr>
        <w:ilvl w:val="1"/>
        <w:numId w:val="1"/>
      </w:numPr>
      <w:suppressAutoHyphens/>
      <w:wordWrap/>
      <w:overflowPunct w:val="0"/>
      <w:adjustRightInd w:val="0"/>
      <w:spacing w:before="360" w:line="240" w:lineRule="atLeast"/>
      <w:jc w:val="left"/>
      <w:textAlignment w:val="baseline"/>
      <w:outlineLvl w:val="1"/>
    </w:pPr>
    <w:rPr>
      <w:rFonts w:ascii="Times New Roman" w:eastAsia="Times New Roman" w:hAnsi="Times New Roman" w:cs="Times New Roman"/>
      <w:b/>
      <w:kern w:val="0"/>
      <w:szCs w:val="20"/>
      <w:lang w:eastAsia="en-US"/>
    </w:rPr>
  </w:style>
  <w:style w:type="paragraph" w:customStyle="1" w:styleId="a">
    <w:name w:val="바탕글"/>
    <w:basedOn w:val="Normal"/>
    <w:pPr>
      <w:spacing w:after="0" w:line="384" w:lineRule="auto"/>
      <w:textAlignment w:val="baseline"/>
    </w:pPr>
    <w:rPr>
      <w:rFonts w:ascii="함초롬바탕" w:eastAsia="Gulim" w:hAnsi="Gulim" w:cs="Gulim"/>
      <w:color w:val="000000"/>
      <w:kern w:val="0"/>
      <w:szCs w:val="20"/>
    </w:rPr>
  </w:style>
  <w:style w:type="paragraph" w:customStyle="1" w:styleId="dashitem">
    <w:name w:val="dashitem"/>
    <w:basedOn w:val="Normal"/>
    <w:pPr>
      <w:widowControl/>
      <w:numPr>
        <w:numId w:val="2"/>
      </w:numPr>
      <w:wordWrap/>
      <w:overflowPunct w:val="0"/>
      <w:adjustRightInd w:val="0"/>
      <w:spacing w:before="160" w:line="240" w:lineRule="atLeast"/>
      <w:contextualSpacing/>
      <w:textAlignment w:val="baseline"/>
    </w:pPr>
    <w:rPr>
      <w:rFonts w:ascii="Times New Roman" w:eastAsia="Times New Roman" w:hAnsi="Times New Roman" w:cs="Times New Roman"/>
      <w:kern w:val="0"/>
      <w:szCs w:val="20"/>
      <w:lang w:eastAsia="en-US"/>
    </w:rPr>
  </w:style>
  <w:style w:type="paragraph" w:customStyle="1" w:styleId="referenceitem">
    <w:name w:val="referenceitem"/>
    <w:basedOn w:val="Normal"/>
    <w:qFormat/>
    <w:pPr>
      <w:widowControl/>
      <w:numPr>
        <w:numId w:val="3"/>
      </w:numPr>
      <w:wordWrap/>
      <w:overflowPunct w:val="0"/>
      <w:adjustRightInd w:val="0"/>
      <w:spacing w:after="0" w:line="220" w:lineRule="atLeast"/>
      <w:textAlignment w:val="baseline"/>
    </w:pPr>
    <w:rPr>
      <w:rFonts w:ascii="Times New Roman" w:eastAsia="Times New Roman" w:hAnsi="Times New Roman" w:cs="Times New Roman"/>
      <w:kern w:val="0"/>
      <w:sz w:val="18"/>
      <w:szCs w:val="20"/>
      <w:lang w:eastAsia="en-US"/>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style>
  <w:style w:type="character" w:styleId="PlaceholderText">
    <w:name w:val="Placeholder Text"/>
    <w:basedOn w:val="DefaultParagraphFont"/>
    <w:uiPriority w:val="99"/>
    <w:semiHidden/>
    <w:rPr>
      <w:color w:val="808080"/>
    </w:rPr>
  </w:style>
  <w:style w:type="character" w:customStyle="1" w:styleId="1">
    <w:name w:val="확인되지 않은 멘션1"/>
    <w:basedOn w:val="DefaultParagraphFont"/>
    <w:uiPriority w:val="99"/>
    <w:semiHidden/>
    <w:unhideWhenUsed/>
    <w:rPr>
      <w:color w:val="605E5C"/>
      <w:shd w:val="clear" w:color="auto" w:fill="E1DFDD"/>
    </w:rPr>
  </w:style>
  <w:style w:type="paragraph" w:customStyle="1" w:styleId="Revision1">
    <w:name w:val="Revision1"/>
    <w:hidden/>
    <w:uiPriority w:val="99"/>
    <w:semiHidden/>
    <w:rPr>
      <w:kern w:val="2"/>
      <w:szCs w:val="22"/>
      <w:lang w:eastAsia="ko-KR"/>
    </w:rPr>
  </w:style>
  <w:style w:type="character" w:customStyle="1" w:styleId="CommentTextChar">
    <w:name w:val="Comment Text Char"/>
    <w:basedOn w:val="DefaultParagraphFont"/>
    <w:link w:val="CommentText"/>
    <w:uiPriority w:val="99"/>
    <w:qFormat/>
    <w:rPr>
      <w:szCs w:val="20"/>
    </w:rPr>
  </w:style>
  <w:style w:type="character" w:customStyle="1" w:styleId="CommentSubjectChar">
    <w:name w:val="Comment Subject Char"/>
    <w:basedOn w:val="CommentTextChar"/>
    <w:link w:val="CommentSubject"/>
    <w:uiPriority w:val="99"/>
    <w:semiHidden/>
    <w:rPr>
      <w:b/>
      <w:bCs/>
      <w:szCs w:val="20"/>
    </w:rPr>
  </w:style>
  <w:style w:type="character" w:customStyle="1" w:styleId="BalloonTextChar">
    <w:name w:val="Balloon Text Char"/>
    <w:basedOn w:val="DefaultParagraphFont"/>
    <w:link w:val="BalloonText"/>
    <w:uiPriority w:val="99"/>
    <w:semiHidden/>
    <w:rPr>
      <w:rFonts w:asciiTheme="majorHAnsi" w:eastAsiaTheme="majorEastAsia" w:hAnsiTheme="majorHAnsi" w:cstheme="majorBidi"/>
      <w:sz w:val="18"/>
      <w:szCs w:val="18"/>
    </w:rPr>
  </w:style>
  <w:style w:type="paragraph" w:customStyle="1" w:styleId="References">
    <w:name w:val="References"/>
    <w:basedOn w:val="Normal"/>
    <w:qFormat/>
    <w:pPr>
      <w:widowControl/>
      <w:numPr>
        <w:numId w:val="4"/>
      </w:numPr>
      <w:wordWrap/>
      <w:autoSpaceDE/>
      <w:autoSpaceDN/>
      <w:spacing w:after="0" w:line="240" w:lineRule="auto"/>
    </w:pPr>
    <w:rPr>
      <w:rFonts w:ascii="Times New Roman" w:eastAsia="Times New Roman" w:hAnsi="Times New Roman" w:cs="Times New Roman"/>
      <w:kern w:val="0"/>
      <w:sz w:val="16"/>
      <w:szCs w:val="16"/>
      <w:lang w:eastAsia="en-US"/>
    </w:rPr>
  </w:style>
  <w:style w:type="table" w:customStyle="1" w:styleId="10">
    <w:name w:val="표 구분선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확인되지 않은 멘션2"/>
    <w:basedOn w:val="DefaultParagraphFont"/>
    <w:uiPriority w:val="99"/>
    <w:semiHidden/>
    <w:unhideWhenUsed/>
    <w:qFormat/>
    <w:rPr>
      <w:color w:val="605E5C"/>
      <w:shd w:val="clear" w:color="auto" w:fill="E1DFDD"/>
    </w:rPr>
  </w:style>
  <w:style w:type="paragraph" w:customStyle="1" w:styleId="MDPI17abstract">
    <w:name w:val="MDPI_1.7_abstract"/>
    <w:next w:val="Normal"/>
    <w:qFormat/>
    <w:pPr>
      <w:adjustRightInd w:val="0"/>
      <w:snapToGrid w:val="0"/>
      <w:spacing w:before="240" w:line="280" w:lineRule="atLeast"/>
      <w:ind w:left="2608"/>
      <w:jc w:val="both"/>
    </w:pPr>
    <w:rPr>
      <w:rFonts w:ascii="Palatino Linotype" w:eastAsia="Times New Roman" w:hAnsi="Palatino Linotype" w:cs="Times New Roman"/>
      <w:color w:val="000000"/>
      <w:szCs w:val="22"/>
      <w:lang w:eastAsia="de-DE" w:bidi="en-US"/>
    </w:rPr>
  </w:style>
  <w:style w:type="paragraph" w:customStyle="1" w:styleId="MDPI42tablebody">
    <w:name w:val="MDPI_4.2_table_body"/>
    <w:qFormat/>
    <w:pPr>
      <w:adjustRightInd w:val="0"/>
      <w:snapToGrid w:val="0"/>
      <w:spacing w:line="260" w:lineRule="atLeast"/>
      <w:jc w:val="center"/>
    </w:pPr>
    <w:rPr>
      <w:rFonts w:ascii="Palatino Linotype" w:eastAsia="Times New Roman" w:hAnsi="Palatino Linotype" w:cs="Times New Roman"/>
      <w:snapToGrid w:val="0"/>
      <w:color w:val="000000"/>
      <w:lang w:eastAsia="de-DE" w:bidi="en-US"/>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000000" w:themeColor="text1"/>
      <w14:ligatures w14:val="standardContextual"/>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TSP52figure">
    <w:name w:val="TSP_5.2_figure"/>
    <w:qFormat/>
    <w:pPr>
      <w:adjustRightInd w:val="0"/>
      <w:snapToGrid w:val="0"/>
      <w:spacing w:before="240" w:after="120" w:line="240" w:lineRule="atLeast"/>
      <w:jc w:val="center"/>
    </w:pPr>
    <w:rPr>
      <w:rFonts w:ascii="Minion Pro" w:eastAsia="Times New Roman" w:hAnsi="Minion Pro" w:cs="Times New Roman"/>
      <w:snapToGrid w:val="0"/>
      <w:color w:val="000000"/>
      <w:lang w:eastAsia="de-DE" w:bidi="en-US"/>
    </w:rPr>
  </w:style>
  <w:style w:type="paragraph" w:customStyle="1" w:styleId="TSP41tablecaption">
    <w:name w:val="TSP_4.1_table_caption"/>
    <w:qFormat/>
    <w:pPr>
      <w:adjustRightInd w:val="0"/>
      <w:snapToGrid w:val="0"/>
      <w:spacing w:before="240" w:after="120" w:line="240" w:lineRule="atLeast"/>
      <w:jc w:val="both"/>
    </w:pPr>
    <w:rPr>
      <w:rFonts w:ascii="Minion Pro" w:eastAsia="Times New Roman" w:hAnsi="Minion Pro" w:cs="Cordia New"/>
      <w:color w:val="000000"/>
      <w:szCs w:val="22"/>
      <w:lang w:eastAsia="de-DE" w:bidi="en-US"/>
    </w:rPr>
  </w:style>
  <w:style w:type="paragraph" w:customStyle="1" w:styleId="TSP42tablebody">
    <w:name w:val="TSP_4.2_table_body"/>
    <w:qFormat/>
    <w:pPr>
      <w:adjustRightInd w:val="0"/>
      <w:snapToGrid w:val="0"/>
      <w:spacing w:line="240" w:lineRule="atLeast"/>
      <w:jc w:val="center"/>
    </w:pPr>
    <w:rPr>
      <w:rFonts w:ascii="Minion Pro" w:eastAsia="Times New Roman" w:hAnsi="Minion Pro" w:cs="Times New Roman"/>
      <w:snapToGrid w:val="0"/>
      <w:color w:val="000000"/>
      <w:lang w:eastAsia="de-DE" w:bidi="en-US"/>
    </w:rPr>
  </w:style>
  <w:style w:type="character" w:customStyle="1" w:styleId="Heading2Char">
    <w:name w:val="Heading 2 Char"/>
    <w:basedOn w:val="DefaultParagraphFont"/>
    <w:link w:val="Heading20"/>
    <w:uiPriority w:val="9"/>
    <w:semiHidden/>
    <w:qFormat/>
    <w:rPr>
      <w:rFonts w:asciiTheme="majorHAnsi" w:eastAsiaTheme="majorEastAsia" w:hAnsiTheme="majorHAnsi" w:cstheme="majorBidi"/>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rPr>
  </w:style>
  <w:style w:type="character" w:customStyle="1" w:styleId="Heading1Char">
    <w:name w:val="Heading 1 Char"/>
    <w:basedOn w:val="DefaultParagraphFont"/>
    <w:link w:val="Heading10"/>
    <w:uiPriority w:val="9"/>
    <w:rPr>
      <w:rFonts w:asciiTheme="majorHAnsi" w:eastAsiaTheme="majorEastAsia" w:hAnsiTheme="majorHAnsi" w:cstheme="majorBid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1FAA3-76C2-4AE4-B77C-880C92F05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5536</TotalTime>
  <Pages>14</Pages>
  <Words>5665</Words>
  <Characters>34786</Characters>
  <Application>Microsoft Office Word</Application>
  <DocSecurity>0</DocSecurity>
  <Lines>543</Lines>
  <Paragraphs>378</Paragraphs>
  <ScaleCrop>false</ScaleCrop>
  <Company/>
  <LinksUpToDate>false</LinksUpToDate>
  <CharactersWithSpaces>40073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박성우[ 대학원석·박사통합과정수료연구(재학) / 전기전자공학과 ]</dc:creator>
  <cp:lastModifiedBy>Tech Science Press</cp:lastModifiedBy>
  <cp:revision>3301</cp:revision>
  <cp:lastPrinted>2023-08-21T05:42:00Z</cp:lastPrinted>
  <dcterms:created xsi:type="dcterms:W3CDTF">2025-01-31T06:58:00Z</dcterms:created>
  <dcterms:modified xsi:type="dcterms:W3CDTF">2026-01-09T03:06:00Z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4th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Citation Style_1">
    <vt:lpwstr>http://www.zotero.org/styles/ieee</vt:lpwstr>
  </property>
  <property fmtid="{D5CDD505-2E9C-101B-9397-08002B2CF9AE}" pid="24" name="Mendeley Unique User Id_1">
    <vt:lpwstr>a7bf6f9b-76f0-34a5-9c78-201e89d8b41c</vt:lpwstr>
  </property>
  <property fmtid="{D5CDD505-2E9C-101B-9397-08002B2CF9AE}" pid="25" name="KSOProductBuildVer">
    <vt:lpwstr>2052-12.1.0.24034</vt:lpwstr>
  </property>
  <property fmtid="{D5CDD505-2E9C-101B-9397-08002B2CF9AE}" pid="26" name="ICV">
    <vt:lpwstr>07E8C13FEEB34FB8A9E5CB04D4DDF087_13</vt:lpwstr>
  </property>
</Properties>
</file>