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568"/>
        <w:gridCol w:w="587"/>
        <w:gridCol w:w="4928"/>
        <w:gridCol w:w="3260"/>
        <w:gridCol w:w="4848"/>
      </w:tblGrid>
      <w:tr w:rsidR="00661B10" w14:paraId="1EE0A44A" w14:textId="77777777" w:rsidTr="00864C2C">
        <w:trPr>
          <w:trHeight w:val="65"/>
          <w:tblHeader/>
        </w:trPr>
        <w:tc>
          <w:tcPr>
            <w:tcW w:w="156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4928"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326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4848"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rsidTr="00864C2C">
        <w:trPr>
          <w:trHeight w:val="48"/>
        </w:trPr>
        <w:tc>
          <w:tcPr>
            <w:tcW w:w="1568"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4928"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3260" w:type="dxa"/>
            <w:tcBorders>
              <w:top w:val="single" w:sz="4" w:space="0" w:color="000000"/>
              <w:left w:val="single" w:sz="4" w:space="0" w:color="000000"/>
              <w:bottom w:val="double" w:sz="4" w:space="0" w:color="000000"/>
              <w:right w:val="single" w:sz="4" w:space="0" w:color="000000"/>
            </w:tcBorders>
          </w:tcPr>
          <w:p w14:paraId="2C544964"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Title page (manuscript p. 1)</w:t>
            </w:r>
          </w:p>
        </w:tc>
        <w:tc>
          <w:tcPr>
            <w:tcW w:w="4848" w:type="dxa"/>
            <w:tcBorders>
              <w:top w:val="single" w:sz="4" w:space="0" w:color="000000"/>
              <w:left w:val="single" w:sz="4" w:space="0" w:color="000000"/>
              <w:bottom w:val="double" w:sz="4" w:space="0" w:color="000000"/>
              <w:right w:val="single" w:sz="4" w:space="0" w:color="000000"/>
            </w:tcBorders>
          </w:tcPr>
          <w:p w14:paraId="29F2C8C7"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Title: “From Static to Streaming: A Systematic Review and Event-Sourced Framework for </w:t>
            </w:r>
            <w:proofErr w:type="spellStart"/>
            <w:r>
              <w:rPr>
                <w:rFonts w:ascii="Arial" w:hAnsi="Arial" w:cs="Arial"/>
                <w:color w:val="auto"/>
                <w:sz w:val="18"/>
                <w:szCs w:val="18"/>
              </w:rPr>
              <w:t>GraphRAG</w:t>
            </w:r>
            <w:proofErr w:type="spellEnd"/>
            <w:r>
              <w:rPr>
                <w:rFonts w:ascii="Arial" w:hAnsi="Arial" w:cs="Arial"/>
                <w:color w:val="auto"/>
                <w:sz w:val="18"/>
                <w:szCs w:val="18"/>
              </w:rPr>
              <w:t xml:space="preserve"> in AIOps” — the phrase “Systematic Review” appears in the title.</w:t>
            </w:r>
          </w:p>
        </w:tc>
      </w:tr>
      <w:tr w:rsidR="00661B10" w14:paraId="08EDADF3"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rsidTr="00864C2C">
        <w:trPr>
          <w:trHeight w:val="48"/>
        </w:trPr>
        <w:tc>
          <w:tcPr>
            <w:tcW w:w="1568"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4928"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3260" w:type="dxa"/>
            <w:tcBorders>
              <w:top w:val="single" w:sz="4" w:space="0" w:color="000000"/>
              <w:left w:val="single" w:sz="4" w:space="0" w:color="000000"/>
              <w:bottom w:val="double" w:sz="4" w:space="0" w:color="000000"/>
              <w:right w:val="single" w:sz="4" w:space="0" w:color="000000"/>
            </w:tcBorders>
          </w:tcPr>
          <w:p w14:paraId="029328DB"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Abstract (manuscript p. 1)</w:t>
            </w:r>
          </w:p>
        </w:tc>
        <w:tc>
          <w:tcPr>
            <w:tcW w:w="4848" w:type="dxa"/>
            <w:tcBorders>
              <w:top w:val="single" w:sz="4" w:space="0" w:color="000000"/>
              <w:left w:val="single" w:sz="4" w:space="0" w:color="000000"/>
              <w:bottom w:val="double" w:sz="4" w:space="0" w:color="000000"/>
              <w:right w:val="single" w:sz="4" w:space="0" w:color="000000"/>
            </w:tcBorders>
          </w:tcPr>
          <w:p w14:paraId="3B4DA9B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Single-paragraph structured abstract reporting: corpus size (32 studies), method (systematic analysis + meta-analysis of reported metrics), key findings (hybrid-fusion dominance; 73% of SDG-centric studies omit drift handling), and the ES-</w:t>
            </w:r>
            <w:proofErr w:type="spellStart"/>
            <w:r>
              <w:rPr>
                <w:rFonts w:ascii="Arial" w:hAnsi="Arial" w:cs="Arial"/>
                <w:color w:val="auto"/>
                <w:sz w:val="18"/>
                <w:szCs w:val="18"/>
              </w:rPr>
              <w:t>GraphRAG</w:t>
            </w:r>
            <w:proofErr w:type="spellEnd"/>
            <w:r>
              <w:rPr>
                <w:rFonts w:ascii="Arial" w:hAnsi="Arial" w:cs="Arial"/>
                <w:color w:val="auto"/>
                <w:sz w:val="18"/>
                <w:szCs w:val="18"/>
              </w:rPr>
              <w:t xml:space="preserve"> reference architecture.</w:t>
            </w:r>
          </w:p>
        </w:tc>
      </w:tr>
      <w:tr w:rsidR="00661B10" w14:paraId="1E217BAE"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4928"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3260" w:type="dxa"/>
            <w:tcBorders>
              <w:top w:val="single" w:sz="4" w:space="0" w:color="000000"/>
              <w:left w:val="single" w:sz="4" w:space="0" w:color="000000"/>
              <w:bottom w:val="single" w:sz="4" w:space="0" w:color="000000"/>
              <w:right w:val="single" w:sz="4" w:space="0" w:color="000000"/>
            </w:tcBorders>
          </w:tcPr>
          <w:p w14:paraId="4AFE3A6B"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1.1, 1.2, 1.3 (Introduction)</w:t>
            </w:r>
          </w:p>
        </w:tc>
        <w:tc>
          <w:tcPr>
            <w:tcW w:w="4848" w:type="dxa"/>
            <w:tcBorders>
              <w:top w:val="single" w:sz="4" w:space="0" w:color="000000"/>
              <w:left w:val="single" w:sz="4" w:space="0" w:color="000000"/>
              <w:bottom w:val="single" w:sz="4" w:space="0" w:color="000000"/>
              <w:right w:val="single" w:sz="4" w:space="0" w:color="000000"/>
            </w:tcBorders>
          </w:tcPr>
          <w:p w14:paraId="6E4D2167"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1.1 “The Rise of Generative AIOps” and Section 1.2 “The </w:t>
            </w:r>
            <w:proofErr w:type="spellStart"/>
            <w:r>
              <w:rPr>
                <w:rFonts w:ascii="Arial" w:hAnsi="Arial" w:cs="Arial"/>
                <w:color w:val="auto"/>
                <w:sz w:val="18"/>
                <w:szCs w:val="18"/>
              </w:rPr>
              <w:t>GraphRAG</w:t>
            </w:r>
            <w:proofErr w:type="spellEnd"/>
            <w:r>
              <w:rPr>
                <w:rFonts w:ascii="Arial" w:hAnsi="Arial" w:cs="Arial"/>
                <w:color w:val="auto"/>
                <w:sz w:val="18"/>
                <w:szCs w:val="18"/>
              </w:rPr>
              <w:t xml:space="preserve"> Solution” describe existing knowledge (text-only RAG limitations, KG/SDG grounding, hybrid retrieval). Section 1.3 “The Systematic Gap” articulates the rationale: prior AIOps surveys treat the graph as input and do not synthesize Construction–Retrieval–Production jointly.</w:t>
            </w:r>
          </w:p>
        </w:tc>
      </w:tr>
      <w:tr w:rsidR="00661B10" w14:paraId="126D0CA2" w14:textId="77777777" w:rsidTr="00864C2C">
        <w:trPr>
          <w:trHeight w:val="48"/>
        </w:trPr>
        <w:tc>
          <w:tcPr>
            <w:tcW w:w="1568"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4928"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3260" w:type="dxa"/>
            <w:tcBorders>
              <w:top w:val="single" w:sz="4" w:space="0" w:color="000000"/>
              <w:left w:val="single" w:sz="4" w:space="0" w:color="000000"/>
              <w:bottom w:val="double" w:sz="4" w:space="0" w:color="000000"/>
              <w:right w:val="single" w:sz="4" w:space="0" w:color="000000"/>
            </w:tcBorders>
          </w:tcPr>
          <w:p w14:paraId="6DFCB2F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1.3 (end of Introduction)</w:t>
            </w:r>
          </w:p>
        </w:tc>
        <w:tc>
          <w:tcPr>
            <w:tcW w:w="4848" w:type="dxa"/>
            <w:tcBorders>
              <w:top w:val="single" w:sz="4" w:space="0" w:color="000000"/>
              <w:left w:val="single" w:sz="4" w:space="0" w:color="000000"/>
              <w:bottom w:val="double" w:sz="4" w:space="0" w:color="000000"/>
              <w:right w:val="single" w:sz="4" w:space="0" w:color="000000"/>
            </w:tcBorders>
          </w:tcPr>
          <w:p w14:paraId="45552388"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Three explicit research questions stated at the end of Section 1.3: RQ1 (operational-graph construction from telemetry), RQ2 (retrieval/ranking strategies distinguishing </w:t>
            </w:r>
            <w:proofErr w:type="spellStart"/>
            <w:r>
              <w:rPr>
                <w:rFonts w:ascii="Arial" w:hAnsi="Arial" w:cs="Arial"/>
                <w:color w:val="auto"/>
                <w:sz w:val="18"/>
                <w:szCs w:val="18"/>
              </w:rPr>
              <w:t>GraphRAG</w:t>
            </w:r>
            <w:proofErr w:type="spellEnd"/>
            <w:r>
              <w:rPr>
                <w:rFonts w:ascii="Arial" w:hAnsi="Arial" w:cs="Arial"/>
                <w:color w:val="auto"/>
                <w:sz w:val="18"/>
                <w:szCs w:val="18"/>
              </w:rPr>
              <w:t xml:space="preserve"> in AIOps), RQ3 (production barriers: latency, drift, governance).</w:t>
            </w:r>
          </w:p>
        </w:tc>
      </w:tr>
      <w:tr w:rsidR="00661B10" w14:paraId="37121D36"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4928"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3260" w:type="dxa"/>
            <w:tcBorders>
              <w:top w:val="single" w:sz="4" w:space="0" w:color="000000"/>
              <w:left w:val="single" w:sz="4" w:space="0" w:color="000000"/>
              <w:bottom w:val="single" w:sz="4" w:space="0" w:color="000000"/>
              <w:right w:val="single" w:sz="4" w:space="0" w:color="000000"/>
            </w:tcBorders>
          </w:tcPr>
          <w:p w14:paraId="6B03C22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2.2</w:t>
            </w:r>
          </w:p>
        </w:tc>
        <w:tc>
          <w:tcPr>
            <w:tcW w:w="4848" w:type="dxa"/>
            <w:tcBorders>
              <w:top w:val="single" w:sz="4" w:space="0" w:color="000000"/>
              <w:left w:val="single" w:sz="4" w:space="0" w:color="000000"/>
              <w:bottom w:val="single" w:sz="4" w:space="0" w:color="000000"/>
              <w:right w:val="single" w:sz="4" w:space="0" w:color="000000"/>
            </w:tcBorders>
          </w:tcPr>
          <w:p w14:paraId="0F7E025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2.2 “Selection and Extraction”: inclusion criteria (</w:t>
            </w:r>
            <w:proofErr w:type="spellStart"/>
            <w:r>
              <w:rPr>
                <w:rFonts w:ascii="Arial" w:hAnsi="Arial" w:cs="Arial"/>
                <w:color w:val="auto"/>
                <w:sz w:val="18"/>
                <w:szCs w:val="18"/>
              </w:rPr>
              <w:t>i</w:t>
            </w:r>
            <w:proofErr w:type="spellEnd"/>
            <w:r>
              <w:rPr>
                <w:rFonts w:ascii="Arial" w:hAnsi="Arial" w:cs="Arial"/>
                <w:color w:val="auto"/>
                <w:sz w:val="18"/>
                <w:szCs w:val="18"/>
              </w:rPr>
              <w:t>)–(iii) require empirical/systems article, graph-based retrieval grounding an LLM/generative model, and IT/cloud/software-operations setting. Exclusion criteria: general RAG without operational context; GNN-only without LLM/generative component. Grouping for synthesis defined by the four coding axes in Section 2.3.</w:t>
            </w:r>
          </w:p>
        </w:tc>
      </w:tr>
      <w:tr w:rsidR="00661B10" w14:paraId="0DED8EE0" w14:textId="77777777" w:rsidTr="00864C2C">
        <w:trPr>
          <w:trHeight w:val="191"/>
        </w:trPr>
        <w:tc>
          <w:tcPr>
            <w:tcW w:w="1568"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4928"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3260" w:type="dxa"/>
            <w:tcBorders>
              <w:top w:val="single" w:sz="4" w:space="0" w:color="000000"/>
              <w:left w:val="single" w:sz="4" w:space="0" w:color="000000"/>
              <w:bottom w:val="single" w:sz="4" w:space="0" w:color="000000"/>
              <w:right w:val="single" w:sz="4" w:space="0" w:color="000000"/>
            </w:tcBorders>
          </w:tcPr>
          <w:p w14:paraId="13ED706A"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2.1; supplementary file Search_Strings.pdf</w:t>
            </w:r>
          </w:p>
        </w:tc>
        <w:tc>
          <w:tcPr>
            <w:tcW w:w="4848" w:type="dxa"/>
            <w:tcBorders>
              <w:top w:val="single" w:sz="4" w:space="0" w:color="000000"/>
              <w:left w:val="single" w:sz="4" w:space="0" w:color="000000"/>
              <w:bottom w:val="single" w:sz="4" w:space="0" w:color="000000"/>
              <w:right w:val="single" w:sz="4" w:space="0" w:color="000000"/>
            </w:tcBorders>
          </w:tcPr>
          <w:p w14:paraId="5382599D"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2.1 “Search Strategy and Data Sources”: four sources were searched — Scopus, IEEE Xplore, Web of Science, and Google Scholar. Each source was last searched on 31 January 2026 (date documented for all four databases in the supplementary file Search_Strings.pdf). Initial yields: Scopus 82 (65 peer-reviewed + 17 preprints); IEEE Xplore 40; Web of Science 14; Google Scholar 85. Search window 2000–January 2026; database-specific year filters applied where supported (see Item 7).</w:t>
            </w:r>
          </w:p>
        </w:tc>
      </w:tr>
      <w:tr w:rsidR="00661B10" w14:paraId="3AE7CE43"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4928"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3260" w:type="dxa"/>
            <w:tcBorders>
              <w:top w:val="single" w:sz="4" w:space="0" w:color="000000"/>
              <w:left w:val="single" w:sz="4" w:space="0" w:color="000000"/>
              <w:bottom w:val="single" w:sz="4" w:space="0" w:color="000000"/>
              <w:right w:val="single" w:sz="4" w:space="0" w:color="000000"/>
            </w:tcBorders>
          </w:tcPr>
          <w:p w14:paraId="7C82E22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2.1; supplementary file Search_Strings.pdf</w:t>
            </w:r>
          </w:p>
        </w:tc>
        <w:tc>
          <w:tcPr>
            <w:tcW w:w="4848" w:type="dxa"/>
            <w:tcBorders>
              <w:top w:val="single" w:sz="4" w:space="0" w:color="000000"/>
              <w:left w:val="single" w:sz="4" w:space="0" w:color="000000"/>
              <w:bottom w:val="single" w:sz="4" w:space="0" w:color="000000"/>
              <w:right w:val="single" w:sz="4" w:space="0" w:color="000000"/>
            </w:tcBorders>
          </w:tcPr>
          <w:p w14:paraId="01E521F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2.1 documents the </w:t>
            </w:r>
            <w:proofErr w:type="spellStart"/>
            <w:r>
              <w:rPr>
                <w:rFonts w:ascii="Arial" w:hAnsi="Arial" w:cs="Arial"/>
                <w:color w:val="auto"/>
                <w:sz w:val="18"/>
                <w:szCs w:val="18"/>
              </w:rPr>
              <w:t>boolean</w:t>
            </w:r>
            <w:proofErr w:type="spellEnd"/>
            <w:r>
              <w:rPr>
                <w:rFonts w:ascii="Arial" w:hAnsi="Arial" w:cs="Arial"/>
                <w:color w:val="auto"/>
                <w:sz w:val="18"/>
                <w:szCs w:val="18"/>
              </w:rPr>
              <w:t xml:space="preserve"> search logic in three concept blocks: (1) </w:t>
            </w:r>
            <w:proofErr w:type="spellStart"/>
            <w:r>
              <w:rPr>
                <w:rFonts w:ascii="Arial" w:hAnsi="Arial" w:cs="Arial"/>
                <w:color w:val="auto"/>
                <w:sz w:val="18"/>
                <w:szCs w:val="18"/>
              </w:rPr>
              <w:t>GraphRAG</w:t>
            </w:r>
            <w:proofErr w:type="spellEnd"/>
            <w:r>
              <w:rPr>
                <w:rFonts w:ascii="Arial" w:hAnsi="Arial" w:cs="Arial"/>
                <w:color w:val="auto"/>
                <w:sz w:val="18"/>
                <w:szCs w:val="18"/>
              </w:rPr>
              <w:t xml:space="preserve">/graph-guided retrieval terms, OR a conjunction of (2) LLM/RAG terms AND </w:t>
            </w:r>
            <w:r>
              <w:rPr>
                <w:rFonts w:ascii="Arial" w:hAnsi="Arial" w:cs="Arial"/>
                <w:color w:val="auto"/>
                <w:sz w:val="18"/>
                <w:szCs w:val="18"/>
              </w:rPr>
              <w:lastRenderedPageBreak/>
              <w:t xml:space="preserve">graph terms, together with (3) </w:t>
            </w:r>
            <w:proofErr w:type="spellStart"/>
            <w:r>
              <w:rPr>
                <w:rFonts w:ascii="Arial" w:hAnsi="Arial" w:cs="Arial"/>
                <w:color w:val="auto"/>
                <w:sz w:val="18"/>
                <w:szCs w:val="18"/>
              </w:rPr>
              <w:t>ITOps</w:t>
            </w:r>
            <w:proofErr w:type="spellEnd"/>
            <w:r>
              <w:rPr>
                <w:rFonts w:ascii="Arial" w:hAnsi="Arial" w:cs="Arial"/>
                <w:color w:val="auto"/>
                <w:sz w:val="18"/>
                <w:szCs w:val="18"/>
              </w:rPr>
              <w:t>/AIOps terms. The full per-database query strings (Scopus TITLE-ABS-KEY, IEEE Xplore, Web of Science TS, Google Scholar) are reproduced verbatim in the supplementary file Search_Strings.pdf, together with the date of last search (31/01/2026), the per-database result counts, and the only year filter applied (PUBYEAR &gt; 2019 on Scopus, consistent with the contemporary-work focus described in Section 2.1).</w:t>
            </w:r>
          </w:p>
        </w:tc>
      </w:tr>
      <w:tr w:rsidR="00661B10" w14:paraId="667A68EC"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4928"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3260" w:type="dxa"/>
            <w:tcBorders>
              <w:top w:val="single" w:sz="4" w:space="0" w:color="000000"/>
              <w:left w:val="single" w:sz="4" w:space="0" w:color="000000"/>
              <w:bottom w:val="single" w:sz="4" w:space="0" w:color="000000"/>
              <w:right w:val="single" w:sz="4" w:space="0" w:color="000000"/>
            </w:tcBorders>
          </w:tcPr>
          <w:p w14:paraId="00962FE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2.2</w:t>
            </w:r>
          </w:p>
        </w:tc>
        <w:tc>
          <w:tcPr>
            <w:tcW w:w="4848" w:type="dxa"/>
            <w:tcBorders>
              <w:top w:val="single" w:sz="4" w:space="0" w:color="000000"/>
              <w:left w:val="single" w:sz="4" w:space="0" w:color="000000"/>
              <w:bottom w:val="single" w:sz="4" w:space="0" w:color="000000"/>
              <w:right w:val="single" w:sz="4" w:space="0" w:color="000000"/>
            </w:tcBorders>
          </w:tcPr>
          <w:p w14:paraId="77562FE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2.2 describes a human-over-the-loop protocol: Elicit (AI research assistant) was used to rank/screen records, but all inclusion decisions were made by the authors after full-text verification. A random 10% sample of excluded abstracts was manually audited to check for false negatives. The number of reviewers and AI-tool details are explicitly stated.</w:t>
            </w:r>
          </w:p>
        </w:tc>
      </w:tr>
      <w:tr w:rsidR="00661B10" w14:paraId="5BD29EC6" w14:textId="77777777" w:rsidTr="00864C2C">
        <w:trPr>
          <w:trHeight w:val="152"/>
        </w:trPr>
        <w:tc>
          <w:tcPr>
            <w:tcW w:w="1568"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4928"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3260" w:type="dxa"/>
            <w:tcBorders>
              <w:top w:val="single" w:sz="4" w:space="0" w:color="000000"/>
              <w:left w:val="single" w:sz="4" w:space="0" w:color="000000"/>
              <w:bottom w:val="single" w:sz="4" w:space="0" w:color="000000"/>
              <w:right w:val="single" w:sz="4" w:space="0" w:color="000000"/>
            </w:tcBorders>
          </w:tcPr>
          <w:p w14:paraId="1FB2C5F1"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2.2 and 2.4</w:t>
            </w:r>
          </w:p>
        </w:tc>
        <w:tc>
          <w:tcPr>
            <w:tcW w:w="4848" w:type="dxa"/>
            <w:tcBorders>
              <w:top w:val="single" w:sz="4" w:space="0" w:color="000000"/>
              <w:left w:val="single" w:sz="4" w:space="0" w:color="000000"/>
              <w:bottom w:val="single" w:sz="4" w:space="0" w:color="000000"/>
              <w:right w:val="single" w:sz="4" w:space="0" w:color="000000"/>
            </w:tcBorders>
          </w:tcPr>
          <w:p w14:paraId="4D0F1C2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2.2: Elicit generated the data extraction matrix; the authors then verified it row-by-row against the full texts to correct errors and resolve ambiguities. Section 2.4 (Quantitative Synthesis): </w:t>
            </w:r>
            <w:proofErr w:type="spellStart"/>
            <w:r>
              <w:rPr>
                <w:rFonts w:ascii="Arial" w:hAnsi="Arial" w:cs="Arial"/>
                <w:color w:val="auto"/>
                <w:sz w:val="18"/>
                <w:szCs w:val="18"/>
              </w:rPr>
              <w:t>Elicit’s</w:t>
            </w:r>
            <w:proofErr w:type="spellEnd"/>
            <w:r>
              <w:rPr>
                <w:rFonts w:ascii="Arial" w:hAnsi="Arial" w:cs="Arial"/>
                <w:color w:val="auto"/>
                <w:sz w:val="18"/>
                <w:szCs w:val="18"/>
              </w:rPr>
              <w:t xml:space="preserve"> reasoning-based extraction features were used for five quantitative variables, and every AI-extracted numeric value and surrounding context were manually verified by the authors against the original source PDFs.</w:t>
            </w:r>
          </w:p>
        </w:tc>
      </w:tr>
      <w:tr w:rsidR="00661B10" w14:paraId="5306F57F" w14:textId="77777777" w:rsidTr="00864C2C">
        <w:trPr>
          <w:trHeight w:val="48"/>
        </w:trPr>
        <w:tc>
          <w:tcPr>
            <w:tcW w:w="1568" w:type="dxa"/>
            <w:vMerge w:val="restart"/>
            <w:tcBorders>
              <w:top w:val="single" w:sz="4" w:space="0" w:color="000000"/>
              <w:left w:val="single" w:sz="4" w:space="0" w:color="000000"/>
              <w:right w:val="single" w:sz="4" w:space="0" w:color="000000"/>
            </w:tcBorders>
          </w:tcPr>
          <w:p w14:paraId="186BEC6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4928"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3260" w:type="dxa"/>
            <w:tcBorders>
              <w:top w:val="single" w:sz="4" w:space="0" w:color="000000"/>
              <w:left w:val="single" w:sz="4" w:space="0" w:color="000000"/>
              <w:bottom w:val="single" w:sz="4" w:space="0" w:color="000000"/>
              <w:right w:val="single" w:sz="4" w:space="0" w:color="000000"/>
            </w:tcBorders>
          </w:tcPr>
          <w:p w14:paraId="11D25995"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w:t>
            </w:r>
          </w:p>
        </w:tc>
        <w:tc>
          <w:tcPr>
            <w:tcW w:w="4848" w:type="dxa"/>
            <w:tcBorders>
              <w:top w:val="single" w:sz="4" w:space="0" w:color="000000"/>
              <w:left w:val="single" w:sz="4" w:space="0" w:color="000000"/>
              <w:bottom w:val="single" w:sz="4" w:space="0" w:color="000000"/>
              <w:right w:val="single" w:sz="4" w:space="0" w:color="000000"/>
            </w:tcBorders>
          </w:tcPr>
          <w:p w14:paraId="5399ABA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 defines five quantitative outcome variables targeted for synthesis: (1) Culprit Localization Accuracy (</w:t>
            </w:r>
            <w:proofErr w:type="spellStart"/>
            <w:r>
              <w:rPr>
                <w:rFonts w:ascii="Arial" w:hAnsi="Arial" w:cs="Arial"/>
                <w:color w:val="auto"/>
                <w:sz w:val="18"/>
                <w:szCs w:val="18"/>
              </w:rPr>
              <w:t>Hit@k</w:t>
            </w:r>
            <w:proofErr w:type="spellEnd"/>
            <w:r>
              <w:rPr>
                <w:rFonts w:ascii="Arial" w:hAnsi="Arial" w:cs="Arial"/>
                <w:color w:val="auto"/>
                <w:sz w:val="18"/>
                <w:szCs w:val="18"/>
              </w:rPr>
              <w:t xml:space="preserve">, </w:t>
            </w:r>
            <w:proofErr w:type="spellStart"/>
            <w:r>
              <w:rPr>
                <w:rFonts w:ascii="Arial" w:hAnsi="Arial" w:cs="Arial"/>
                <w:color w:val="auto"/>
                <w:sz w:val="18"/>
                <w:szCs w:val="18"/>
              </w:rPr>
              <w:t>Recall@k</w:t>
            </w:r>
            <w:proofErr w:type="spellEnd"/>
            <w:r>
              <w:rPr>
                <w:rFonts w:ascii="Arial" w:hAnsi="Arial" w:cs="Arial"/>
                <w:color w:val="auto"/>
                <w:sz w:val="18"/>
                <w:szCs w:val="18"/>
              </w:rPr>
              <w:t>, MRR), (2) Text/Classification Metrics (Precision, F1), (3) Operational Outcomes (e.g., MTTR reduction), (4) Retrieval and Inference Latency, (5) Graph Construction Cost. Only results explicitly attributed to each study’s proposed framework (not baseline comparators) were recorded.</w:t>
            </w:r>
          </w:p>
        </w:tc>
      </w:tr>
      <w:tr w:rsidR="00661B10" w14:paraId="3D94FE60" w14:textId="77777777" w:rsidTr="00864C2C">
        <w:trPr>
          <w:trHeight w:val="48"/>
        </w:trPr>
        <w:tc>
          <w:tcPr>
            <w:tcW w:w="1568"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4928"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3260" w:type="dxa"/>
            <w:tcBorders>
              <w:top w:val="single" w:sz="4" w:space="0" w:color="000000"/>
              <w:left w:val="single" w:sz="4" w:space="0" w:color="000000"/>
              <w:bottom w:val="single" w:sz="4" w:space="0" w:color="000000"/>
              <w:right w:val="single" w:sz="4" w:space="0" w:color="000000"/>
            </w:tcBorders>
          </w:tcPr>
          <w:p w14:paraId="595F3ED8"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2.3; Appendix B (Table B1)</w:t>
            </w:r>
          </w:p>
        </w:tc>
        <w:tc>
          <w:tcPr>
            <w:tcW w:w="4848" w:type="dxa"/>
            <w:tcBorders>
              <w:top w:val="single" w:sz="4" w:space="0" w:color="000000"/>
              <w:left w:val="single" w:sz="4" w:space="0" w:color="000000"/>
              <w:bottom w:val="single" w:sz="4" w:space="0" w:color="000000"/>
              <w:right w:val="single" w:sz="4" w:space="0" w:color="000000"/>
            </w:tcBorders>
          </w:tcPr>
          <w:p w14:paraId="61A55F74"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2.3 defines four coding axes (graph artifact type, construction logic, task theme, retrieval operator family). Table B1 in Appendix B lists the 20 extraction fields covering Scope &amp; Positioning, Knowledge-graph construction, </w:t>
            </w:r>
            <w:proofErr w:type="spellStart"/>
            <w:r>
              <w:rPr>
                <w:rFonts w:ascii="Arial" w:hAnsi="Arial" w:cs="Arial"/>
                <w:color w:val="auto"/>
                <w:sz w:val="18"/>
                <w:szCs w:val="18"/>
              </w:rPr>
              <w:t>GraphRAG</w:t>
            </w:r>
            <w:proofErr w:type="spellEnd"/>
            <w:r>
              <w:rPr>
                <w:rFonts w:ascii="Arial" w:hAnsi="Arial" w:cs="Arial"/>
                <w:color w:val="auto"/>
                <w:sz w:val="18"/>
                <w:szCs w:val="18"/>
              </w:rPr>
              <w:t xml:space="preserve"> retrieval, Generation patterns, Production constraints &amp; governance, and Evaluation &amp; evidence quality. Missing/unclear information is coded as “Not reported” rather than assumed absent.</w:t>
            </w:r>
          </w:p>
        </w:tc>
      </w:tr>
      <w:tr w:rsidR="00661B10" w14:paraId="2BD0C311"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4928"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3260" w:type="dxa"/>
            <w:tcBorders>
              <w:top w:val="single" w:sz="4" w:space="0" w:color="000000"/>
              <w:left w:val="single" w:sz="4" w:space="0" w:color="000000"/>
              <w:bottom w:val="single" w:sz="4" w:space="0" w:color="000000"/>
              <w:right w:val="single" w:sz="4" w:space="0" w:color="000000"/>
            </w:tcBorders>
          </w:tcPr>
          <w:p w14:paraId="2E65623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2.5 and 3.3</w:t>
            </w:r>
          </w:p>
        </w:tc>
        <w:tc>
          <w:tcPr>
            <w:tcW w:w="4848" w:type="dxa"/>
            <w:tcBorders>
              <w:top w:val="single" w:sz="4" w:space="0" w:color="000000"/>
              <w:left w:val="single" w:sz="4" w:space="0" w:color="000000"/>
              <w:bottom w:val="single" w:sz="4" w:space="0" w:color="000000"/>
              <w:right w:val="single" w:sz="4" w:space="0" w:color="000000"/>
            </w:tcBorders>
          </w:tcPr>
          <w:p w14:paraId="2496A048"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A formal validated risk-of-bias instrument (e.g., </w:t>
            </w:r>
            <w:proofErr w:type="spellStart"/>
            <w:r>
              <w:rPr>
                <w:rFonts w:ascii="Arial" w:hAnsi="Arial" w:cs="Arial"/>
                <w:color w:val="auto"/>
                <w:sz w:val="18"/>
                <w:szCs w:val="18"/>
              </w:rPr>
              <w:t>RoB</w:t>
            </w:r>
            <w:proofErr w:type="spellEnd"/>
            <w:r>
              <w:rPr>
                <w:rFonts w:ascii="Arial" w:hAnsi="Arial" w:cs="Arial"/>
                <w:color w:val="auto"/>
                <w:sz w:val="18"/>
                <w:szCs w:val="18"/>
              </w:rPr>
              <w:t xml:space="preserve"> 2, ROBINS-I) was not applied because the corpus comprises systems-engineering and methods papers rather than clinical/intervention studies for which such tools are designed. Instead, paper-level reporting </w:t>
            </w:r>
            <w:r>
              <w:rPr>
                <w:rFonts w:ascii="Arial" w:hAnsi="Arial" w:cs="Arial"/>
                <w:color w:val="auto"/>
                <w:sz w:val="18"/>
                <w:szCs w:val="18"/>
              </w:rPr>
              <w:lastRenderedPageBreak/>
              <w:t>completeness was assessed for production-readiness mechanisms (drift handling, latency/cost bounding, entity resolution, dataset disclosure, governance) — see Figure 5 and Figure 6 (Section 3.3). Selection and reporting bias are discussed narratively in Section 2.5.</w:t>
            </w:r>
          </w:p>
        </w:tc>
      </w:tr>
      <w:tr w:rsidR="00661B10" w14:paraId="5AA130CF"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4928"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3260" w:type="dxa"/>
            <w:tcBorders>
              <w:top w:val="single" w:sz="4" w:space="0" w:color="000000"/>
              <w:left w:val="single" w:sz="4" w:space="0" w:color="000000"/>
              <w:bottom w:val="single" w:sz="4" w:space="0" w:color="000000"/>
              <w:right w:val="single" w:sz="4" w:space="0" w:color="000000"/>
            </w:tcBorders>
          </w:tcPr>
          <w:p w14:paraId="420F1455"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w:t>
            </w:r>
          </w:p>
        </w:tc>
        <w:tc>
          <w:tcPr>
            <w:tcW w:w="4848" w:type="dxa"/>
            <w:tcBorders>
              <w:top w:val="single" w:sz="4" w:space="0" w:color="000000"/>
              <w:left w:val="single" w:sz="4" w:space="0" w:color="000000"/>
              <w:bottom w:val="single" w:sz="4" w:space="0" w:color="000000"/>
              <w:right w:val="single" w:sz="4" w:space="0" w:color="000000"/>
            </w:tcBorders>
          </w:tcPr>
          <w:p w14:paraId="204BE20C"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 explicitly states that a conventional effect-size meta-analysis was infeasible (non-commensurate metrics across heterogeneous tasks/datasets/hardware; missing variance/CI; inconsistent baselines). The synthesis therefore reports (</w:t>
            </w:r>
            <w:proofErr w:type="spellStart"/>
            <w:r>
              <w:rPr>
                <w:rFonts w:ascii="Arial" w:hAnsi="Arial" w:cs="Arial"/>
                <w:color w:val="auto"/>
                <w:sz w:val="18"/>
                <w:szCs w:val="18"/>
              </w:rPr>
              <w:t>i</w:t>
            </w:r>
            <w:proofErr w:type="spellEnd"/>
            <w:r>
              <w:rPr>
                <w:rFonts w:ascii="Arial" w:hAnsi="Arial" w:cs="Arial"/>
                <w:color w:val="auto"/>
                <w:sz w:val="18"/>
                <w:szCs w:val="18"/>
              </w:rPr>
              <w:t>) reporting-frequency distributions for each metric category and (ii) normalized ranges (e.g., all latency values harmonized to seconds) rather than pooled effect estimates.</w:t>
            </w:r>
          </w:p>
        </w:tc>
      </w:tr>
      <w:tr w:rsidR="00661B10" w14:paraId="4BBE9739" w14:textId="77777777" w:rsidTr="00864C2C">
        <w:trPr>
          <w:trHeight w:val="48"/>
        </w:trPr>
        <w:tc>
          <w:tcPr>
            <w:tcW w:w="1568" w:type="dxa"/>
            <w:vMerge w:val="restart"/>
            <w:tcBorders>
              <w:top w:val="single" w:sz="4" w:space="0" w:color="000000"/>
              <w:left w:val="single" w:sz="4" w:space="0" w:color="000000"/>
              <w:right w:val="single" w:sz="4" w:space="0" w:color="000000"/>
            </w:tcBorders>
          </w:tcPr>
          <w:p w14:paraId="2D0A6E32" w14:textId="77777777" w:rsidR="00661B10"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4928"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3260" w:type="dxa"/>
            <w:tcBorders>
              <w:top w:val="single" w:sz="4" w:space="0" w:color="000000"/>
              <w:left w:val="single" w:sz="4" w:space="0" w:color="000000"/>
              <w:bottom w:val="single" w:sz="4" w:space="0" w:color="000000"/>
              <w:right w:val="single" w:sz="4" w:space="0" w:color="000000"/>
            </w:tcBorders>
          </w:tcPr>
          <w:p w14:paraId="403E8D65"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2.3 and 2.4</w:t>
            </w:r>
          </w:p>
        </w:tc>
        <w:tc>
          <w:tcPr>
            <w:tcW w:w="4848" w:type="dxa"/>
            <w:tcBorders>
              <w:top w:val="single" w:sz="4" w:space="0" w:color="000000"/>
              <w:left w:val="single" w:sz="4" w:space="0" w:color="000000"/>
              <w:bottom w:val="single" w:sz="4" w:space="0" w:color="000000"/>
              <w:right w:val="single" w:sz="4" w:space="0" w:color="000000"/>
            </w:tcBorders>
          </w:tcPr>
          <w:p w14:paraId="5619F797"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2.3 — all 32 included studies coded along four analytically distinct axes (artifact type, construction logic, task theme, retrieval operator). Section 2.4 — the quantitative synthesis included only those studies that explicitly reported the relevant metric (e.g., 12 of 32 reported retrieval/inference latency). The per-study coding sheet (Table C1, Appendix C) tabulates eligibility for each synthesis dimension.</w:t>
            </w:r>
          </w:p>
        </w:tc>
      </w:tr>
      <w:tr w:rsidR="00661B10" w14:paraId="16DE0D92" w14:textId="77777777" w:rsidTr="00864C2C">
        <w:trPr>
          <w:trHeight w:val="48"/>
        </w:trPr>
        <w:tc>
          <w:tcPr>
            <w:tcW w:w="1568"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4928"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3260" w:type="dxa"/>
            <w:tcBorders>
              <w:top w:val="single" w:sz="4" w:space="0" w:color="000000"/>
              <w:left w:val="single" w:sz="4" w:space="0" w:color="000000"/>
              <w:bottom w:val="single" w:sz="4" w:space="0" w:color="000000"/>
              <w:right w:val="single" w:sz="4" w:space="0" w:color="000000"/>
            </w:tcBorders>
          </w:tcPr>
          <w:p w14:paraId="7315696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w:t>
            </w:r>
          </w:p>
        </w:tc>
        <w:tc>
          <w:tcPr>
            <w:tcW w:w="4848" w:type="dxa"/>
            <w:tcBorders>
              <w:top w:val="single" w:sz="4" w:space="0" w:color="000000"/>
              <w:left w:val="single" w:sz="4" w:space="0" w:color="000000"/>
              <w:bottom w:val="single" w:sz="4" w:space="0" w:color="000000"/>
              <w:right w:val="single" w:sz="4" w:space="0" w:color="000000"/>
            </w:tcBorders>
          </w:tcPr>
          <w:p w14:paraId="6A78CE82"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 — values were normalized to common units (all latency values converted to seconds) prior to comparison. Reporting-frequency distributions were computed per metric category. Missing values were coded as “not reported in the paper” rather than interpreted as evidence of absence (Section 2.2).</w:t>
            </w:r>
          </w:p>
        </w:tc>
      </w:tr>
      <w:tr w:rsidR="00661B10" w14:paraId="6B90E7D7" w14:textId="77777777" w:rsidTr="00864C2C">
        <w:trPr>
          <w:trHeight w:val="48"/>
        </w:trPr>
        <w:tc>
          <w:tcPr>
            <w:tcW w:w="1568"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4928"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3260" w:type="dxa"/>
            <w:tcBorders>
              <w:top w:val="single" w:sz="4" w:space="0" w:color="000000"/>
              <w:left w:val="single" w:sz="4" w:space="0" w:color="000000"/>
              <w:bottom w:val="single" w:sz="4" w:space="0" w:color="000000"/>
              <w:right w:val="single" w:sz="4" w:space="0" w:color="000000"/>
            </w:tcBorders>
          </w:tcPr>
          <w:p w14:paraId="3079E946"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2.3, 3; Figures 2, 4, 5, 6, 8; Table C1</w:t>
            </w:r>
          </w:p>
        </w:tc>
        <w:tc>
          <w:tcPr>
            <w:tcW w:w="4848" w:type="dxa"/>
            <w:tcBorders>
              <w:top w:val="single" w:sz="4" w:space="0" w:color="000000"/>
              <w:left w:val="single" w:sz="4" w:space="0" w:color="000000"/>
              <w:bottom w:val="single" w:sz="4" w:space="0" w:color="000000"/>
              <w:right w:val="single" w:sz="4" w:space="0" w:color="000000"/>
            </w:tcBorders>
          </w:tcPr>
          <w:p w14:paraId="170B22B4"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Tabulations and visualizations </w:t>
            </w:r>
            <w:proofErr w:type="gramStart"/>
            <w:r>
              <w:rPr>
                <w:rFonts w:ascii="Arial" w:hAnsi="Arial" w:cs="Arial"/>
                <w:color w:val="auto"/>
                <w:sz w:val="18"/>
                <w:szCs w:val="18"/>
              </w:rPr>
              <w:t>include:</w:t>
            </w:r>
            <w:proofErr w:type="gramEnd"/>
            <w:r>
              <w:rPr>
                <w:rFonts w:ascii="Arial" w:hAnsi="Arial" w:cs="Arial"/>
                <w:color w:val="auto"/>
                <w:sz w:val="18"/>
                <w:szCs w:val="18"/>
              </w:rPr>
              <w:t xml:space="preserve"> Figure 2 (four-axis taxonomy counts), Figure 4 (task-theme × retrieval-operator heatmap), Figure 5 (paper-level reporting-gap matrix), Figure 6 (normalized cross-tabulation of reporting gaps by graph artifact type), Figure 8 (log-scale distribution of reported retrieval/inference latencies). Per-study assignments under all four coding axes are tabulated in Table C1 (Appendix C).</w:t>
            </w:r>
          </w:p>
        </w:tc>
      </w:tr>
      <w:tr w:rsidR="00661B10" w14:paraId="18359FD8" w14:textId="77777777" w:rsidTr="00864C2C">
        <w:trPr>
          <w:trHeight w:val="48"/>
        </w:trPr>
        <w:tc>
          <w:tcPr>
            <w:tcW w:w="1568"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4928"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3260" w:type="dxa"/>
            <w:tcBorders>
              <w:top w:val="single" w:sz="4" w:space="0" w:color="000000"/>
              <w:left w:val="single" w:sz="4" w:space="0" w:color="000000"/>
              <w:bottom w:val="single" w:sz="4" w:space="0" w:color="000000"/>
              <w:right w:val="single" w:sz="4" w:space="0" w:color="000000"/>
            </w:tcBorders>
          </w:tcPr>
          <w:p w14:paraId="1B5FCF50"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2.4</w:t>
            </w:r>
          </w:p>
        </w:tc>
        <w:tc>
          <w:tcPr>
            <w:tcW w:w="4848" w:type="dxa"/>
            <w:tcBorders>
              <w:top w:val="single" w:sz="4" w:space="0" w:color="000000"/>
              <w:left w:val="single" w:sz="4" w:space="0" w:color="000000"/>
              <w:bottom w:val="single" w:sz="4" w:space="0" w:color="000000"/>
              <w:right w:val="single" w:sz="4" w:space="0" w:color="000000"/>
            </w:tcBorders>
          </w:tcPr>
          <w:p w14:paraId="5837F22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2.4 explicitly justifies that meta-analysis was not performed; </w:t>
            </w:r>
            <w:proofErr w:type="gramStart"/>
            <w:r>
              <w:rPr>
                <w:rFonts w:ascii="Arial" w:hAnsi="Arial" w:cs="Arial"/>
                <w:color w:val="auto"/>
                <w:sz w:val="18"/>
                <w:szCs w:val="18"/>
              </w:rPr>
              <w:t>therefore</w:t>
            </w:r>
            <w:proofErr w:type="gramEnd"/>
            <w:r>
              <w:rPr>
                <w:rFonts w:ascii="Arial" w:hAnsi="Arial" w:cs="Arial"/>
                <w:color w:val="auto"/>
                <w:sz w:val="18"/>
                <w:szCs w:val="18"/>
              </w:rPr>
              <w:t xml:space="preserve"> no statistical model, heterogeneity statistic (e.g., I²), or meta-analysis software package was used. The chosen synthesis approach is descriptive (counts, percentages, normalized ranges). Rationale: non-commensurate outcome metrics, heterogeneous tasks/datasets, hardware/deployment confounds, and absent summary statistics in primary studies.</w:t>
            </w:r>
          </w:p>
        </w:tc>
      </w:tr>
      <w:tr w:rsidR="00661B10" w14:paraId="3E0E91A3" w14:textId="77777777" w:rsidTr="00864C2C">
        <w:trPr>
          <w:trHeight w:val="48"/>
        </w:trPr>
        <w:tc>
          <w:tcPr>
            <w:tcW w:w="1568"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4928"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Describe any methods used to explore possible causes of heterogeneity among study results (e.g. subgroup </w:t>
            </w:r>
            <w:r>
              <w:rPr>
                <w:rFonts w:ascii="Arial" w:hAnsi="Arial" w:cs="Arial"/>
                <w:sz w:val="18"/>
                <w:szCs w:val="18"/>
              </w:rPr>
              <w:lastRenderedPageBreak/>
              <w:t>analysis, meta-regression).</w:t>
            </w:r>
          </w:p>
        </w:tc>
        <w:tc>
          <w:tcPr>
            <w:tcW w:w="3260" w:type="dxa"/>
            <w:tcBorders>
              <w:top w:val="single" w:sz="4" w:space="0" w:color="000000"/>
              <w:left w:val="single" w:sz="4" w:space="0" w:color="000000"/>
              <w:bottom w:val="single" w:sz="4" w:space="0" w:color="000000"/>
              <w:right w:val="single" w:sz="4" w:space="0" w:color="000000"/>
            </w:tcBorders>
          </w:tcPr>
          <w:p w14:paraId="7E3237B1"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lastRenderedPageBreak/>
              <w:t>Section 3.3; Figures 5 and 6</w:t>
            </w:r>
          </w:p>
        </w:tc>
        <w:tc>
          <w:tcPr>
            <w:tcW w:w="4848" w:type="dxa"/>
            <w:tcBorders>
              <w:top w:val="single" w:sz="4" w:space="0" w:color="000000"/>
              <w:left w:val="single" w:sz="4" w:space="0" w:color="000000"/>
              <w:bottom w:val="single" w:sz="4" w:space="0" w:color="000000"/>
              <w:right w:val="single" w:sz="4" w:space="0" w:color="000000"/>
            </w:tcBorders>
          </w:tcPr>
          <w:p w14:paraId="2FC45150"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No meta-regression or formal subgroup heterogeneity test was performed (no pooled estimates exist). A stratified </w:t>
            </w:r>
            <w:r>
              <w:rPr>
                <w:rFonts w:ascii="Arial" w:hAnsi="Arial" w:cs="Arial"/>
                <w:color w:val="auto"/>
                <w:sz w:val="18"/>
                <w:szCs w:val="18"/>
              </w:rPr>
              <w:lastRenderedPageBreak/>
              <w:t>descriptive analysis by graph artifact type (KG vs SDG) is reported in Section 3.3, with normalized percentages in Figure 6 to enable fair KG/SDG comparison given imbalanced subset sizes (10 vs 22).</w:t>
            </w:r>
          </w:p>
        </w:tc>
      </w:tr>
      <w:tr w:rsidR="00661B10" w14:paraId="071C4304" w14:textId="77777777" w:rsidTr="00864C2C">
        <w:trPr>
          <w:trHeight w:val="50"/>
        </w:trPr>
        <w:tc>
          <w:tcPr>
            <w:tcW w:w="1568"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4928"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3260" w:type="dxa"/>
            <w:tcBorders>
              <w:top w:val="single" w:sz="4" w:space="0" w:color="000000"/>
              <w:left w:val="single" w:sz="4" w:space="0" w:color="000000"/>
              <w:bottom w:val="single" w:sz="4" w:space="0" w:color="000000"/>
              <w:right w:val="single" w:sz="4" w:space="0" w:color="000000"/>
            </w:tcBorders>
          </w:tcPr>
          <w:p w14:paraId="7275097C"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Not applicable — see Section 2.4</w:t>
            </w:r>
          </w:p>
        </w:tc>
        <w:tc>
          <w:tcPr>
            <w:tcW w:w="4848" w:type="dxa"/>
            <w:tcBorders>
              <w:top w:val="single" w:sz="4" w:space="0" w:color="000000"/>
              <w:left w:val="single" w:sz="4" w:space="0" w:color="000000"/>
              <w:bottom w:val="single" w:sz="4" w:space="0" w:color="000000"/>
              <w:right w:val="single" w:sz="4" w:space="0" w:color="000000"/>
            </w:tcBorders>
          </w:tcPr>
          <w:p w14:paraId="33DC4D8C"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 sensitivity analyses on pooled effect estimates were conducted because no pooled effect estimates were produced (meta-analysis was infeasible). The rationale is documented in Section 2.4.</w:t>
            </w:r>
          </w:p>
        </w:tc>
      </w:tr>
      <w:tr w:rsidR="00661B10" w14:paraId="3ED87685"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4928"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3260" w:type="dxa"/>
            <w:tcBorders>
              <w:top w:val="single" w:sz="4" w:space="0" w:color="000000"/>
              <w:left w:val="single" w:sz="4" w:space="0" w:color="000000"/>
              <w:bottom w:val="single" w:sz="4" w:space="0" w:color="000000"/>
              <w:right w:val="single" w:sz="4" w:space="0" w:color="000000"/>
            </w:tcBorders>
          </w:tcPr>
          <w:p w14:paraId="18EBE18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2.5</w:t>
            </w:r>
          </w:p>
        </w:tc>
        <w:tc>
          <w:tcPr>
            <w:tcW w:w="4848" w:type="dxa"/>
            <w:tcBorders>
              <w:top w:val="single" w:sz="4" w:space="0" w:color="000000"/>
              <w:left w:val="single" w:sz="4" w:space="0" w:color="000000"/>
              <w:bottom w:val="single" w:sz="4" w:space="0" w:color="000000"/>
              <w:right w:val="single" w:sz="4" w:space="0" w:color="000000"/>
            </w:tcBorders>
          </w:tcPr>
          <w:p w14:paraId="41B93AE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2.5 “Limitations” acknowledges that studies reporting serving-time latency constitute a non-random subset of the literature and that even reported values are not directly comparable due to differences in hardware, software stack, caching/batching, and measurement boundaries. Formal funnel-plot / Egger-test type assessments are not applicable (no pooled effect sizes).</w:t>
            </w:r>
          </w:p>
        </w:tc>
      </w:tr>
      <w:tr w:rsidR="00661B10" w14:paraId="1379892A"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4928"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3260" w:type="dxa"/>
            <w:tcBorders>
              <w:top w:val="single" w:sz="4" w:space="0" w:color="000000"/>
              <w:left w:val="single" w:sz="4" w:space="0" w:color="000000"/>
              <w:bottom w:val="single" w:sz="4" w:space="0" w:color="000000"/>
              <w:right w:val="single" w:sz="4" w:space="0" w:color="000000"/>
            </w:tcBorders>
          </w:tcPr>
          <w:p w14:paraId="7875B5B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2.5</w:t>
            </w:r>
          </w:p>
        </w:tc>
        <w:tc>
          <w:tcPr>
            <w:tcW w:w="4848" w:type="dxa"/>
            <w:tcBorders>
              <w:top w:val="single" w:sz="4" w:space="0" w:color="000000"/>
              <w:left w:val="single" w:sz="4" w:space="0" w:color="000000"/>
              <w:bottom w:val="single" w:sz="4" w:space="0" w:color="000000"/>
              <w:right w:val="single" w:sz="4" w:space="0" w:color="000000"/>
            </w:tcBorders>
          </w:tcPr>
          <w:p w14:paraId="7BA44BC0"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A formal certainty-of-evidence framework (e.g., GRADE, </w:t>
            </w:r>
            <w:proofErr w:type="spellStart"/>
            <w:r>
              <w:rPr>
                <w:rFonts w:ascii="Arial" w:hAnsi="Arial" w:cs="Arial"/>
                <w:color w:val="auto"/>
                <w:sz w:val="18"/>
                <w:szCs w:val="18"/>
              </w:rPr>
              <w:t>CINeMA</w:t>
            </w:r>
            <w:proofErr w:type="spellEnd"/>
            <w:r>
              <w:rPr>
                <w:rFonts w:ascii="Arial" w:hAnsi="Arial" w:cs="Arial"/>
                <w:color w:val="auto"/>
                <w:sz w:val="18"/>
                <w:szCs w:val="18"/>
              </w:rPr>
              <w:t>) was not applied because such frameworks target effect-size questions from clinical/intervention literature, whereas this review addresses systems-engineering research questions about pipeline design and reporting practice. Confidence considerations (provisional status of preprint-derived findings; categorical-coding subjectivity; AI-assisted screening recall limits) are discussed narratively in Section 2.5.</w:t>
            </w:r>
          </w:p>
        </w:tc>
      </w:tr>
      <w:tr w:rsidR="00661B10" w14:paraId="4B88587A"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rsidTr="00864C2C">
        <w:trPr>
          <w:trHeight w:val="48"/>
        </w:trPr>
        <w:tc>
          <w:tcPr>
            <w:tcW w:w="1568" w:type="dxa"/>
            <w:vMerge w:val="restart"/>
            <w:tcBorders>
              <w:top w:val="single" w:sz="4" w:space="0" w:color="000000"/>
              <w:left w:val="single" w:sz="4" w:space="0" w:color="000000"/>
              <w:right w:val="single" w:sz="4" w:space="0" w:color="000000"/>
            </w:tcBorders>
          </w:tcPr>
          <w:p w14:paraId="2C5E0E2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4928"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3260" w:type="dxa"/>
            <w:tcBorders>
              <w:top w:val="single" w:sz="4" w:space="0" w:color="000000"/>
              <w:left w:val="single" w:sz="4" w:space="0" w:color="000000"/>
              <w:bottom w:val="single" w:sz="4" w:space="0" w:color="000000"/>
              <w:right w:val="single" w:sz="4" w:space="0" w:color="000000"/>
            </w:tcBorders>
          </w:tcPr>
          <w:p w14:paraId="670CFC65"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2.1, 2.2; Figure 1 (PRISMA flow); Appendix A (Table A1)</w:t>
            </w:r>
          </w:p>
        </w:tc>
        <w:tc>
          <w:tcPr>
            <w:tcW w:w="4848" w:type="dxa"/>
            <w:tcBorders>
              <w:top w:val="single" w:sz="4" w:space="0" w:color="000000"/>
              <w:left w:val="single" w:sz="4" w:space="0" w:color="000000"/>
              <w:bottom w:val="single" w:sz="4" w:space="0" w:color="000000"/>
              <w:right w:val="single" w:sz="4" w:space="0" w:color="000000"/>
            </w:tcBorders>
          </w:tcPr>
          <w:p w14:paraId="23B085B2"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2.1: 221 records identified across four databases (Scopus 82; IEEE Xplore 40; Web of Science 14; Google Scholar 85). After deduplication and removal of non-scholarly records: 139 unique records. Section 2.2: 139 screened at title/abstract → 46 retained, 93 excluded; full-text screening of 46 → 32 included, 14 excluded. The PRISMA flowchart is Figure 1. Table A1 (Appendix A) details title/abstract exclusion counts: EC1 wrong domain = 56; EC2 no graph/LLM integration = 37.</w:t>
            </w:r>
          </w:p>
        </w:tc>
      </w:tr>
      <w:tr w:rsidR="00661B10" w14:paraId="1A0D622A" w14:textId="77777777" w:rsidTr="00864C2C">
        <w:trPr>
          <w:trHeight w:val="48"/>
        </w:trPr>
        <w:tc>
          <w:tcPr>
            <w:tcW w:w="1568"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4928"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3260" w:type="dxa"/>
            <w:tcBorders>
              <w:top w:val="single" w:sz="4" w:space="0" w:color="000000"/>
              <w:left w:val="single" w:sz="4" w:space="0" w:color="000000"/>
              <w:bottom w:val="single" w:sz="4" w:space="0" w:color="000000"/>
              <w:right w:val="single" w:sz="4" w:space="0" w:color="000000"/>
            </w:tcBorders>
          </w:tcPr>
          <w:p w14:paraId="715316E4"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2.2</w:t>
            </w:r>
          </w:p>
        </w:tc>
        <w:tc>
          <w:tcPr>
            <w:tcW w:w="4848" w:type="dxa"/>
            <w:tcBorders>
              <w:top w:val="single" w:sz="4" w:space="0" w:color="000000"/>
              <w:left w:val="single" w:sz="4" w:space="0" w:color="000000"/>
              <w:bottom w:val="single" w:sz="4" w:space="0" w:color="000000"/>
              <w:right w:val="single" w:sz="4" w:space="0" w:color="000000"/>
            </w:tcBorders>
          </w:tcPr>
          <w:p w14:paraId="547BC47B"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2.2: the 14 full-text exclusions are summarized by reason (insufficient graph-guided grounding/retrieval at full text, or domain mismatch). Individual citations of the 14 excluded full-text records are not provided in the main text; per-record screening decisions are documented in the supplementary file Fulltext_Screening-results-review.xlsx.</w:t>
            </w:r>
          </w:p>
        </w:tc>
      </w:tr>
      <w:tr w:rsidR="00661B10" w14:paraId="5DB5DBDE" w14:textId="77777777" w:rsidTr="00864C2C">
        <w:trPr>
          <w:trHeight w:val="103"/>
        </w:trPr>
        <w:tc>
          <w:tcPr>
            <w:tcW w:w="1568"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4928"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3260" w:type="dxa"/>
            <w:tcBorders>
              <w:top w:val="single" w:sz="4" w:space="0" w:color="000000"/>
              <w:left w:val="single" w:sz="4" w:space="0" w:color="000000"/>
              <w:bottom w:val="single" w:sz="4" w:space="0" w:color="000000"/>
              <w:right w:val="single" w:sz="4" w:space="0" w:color="000000"/>
            </w:tcBorders>
          </w:tcPr>
          <w:p w14:paraId="2BA7B4C0"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Appendix C (Table C1); Sections 3.1–3.3</w:t>
            </w:r>
          </w:p>
        </w:tc>
        <w:tc>
          <w:tcPr>
            <w:tcW w:w="4848" w:type="dxa"/>
            <w:tcBorders>
              <w:top w:val="single" w:sz="4" w:space="0" w:color="000000"/>
              <w:left w:val="single" w:sz="4" w:space="0" w:color="000000"/>
              <w:bottom w:val="single" w:sz="4" w:space="0" w:color="000000"/>
              <w:right w:val="single" w:sz="4" w:space="0" w:color="000000"/>
            </w:tcBorders>
          </w:tcPr>
          <w:p w14:paraId="2D2CAF02"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Table C1 (Appendix C) is a study-by-study coding sheet for all 32 included studies, recording for each: AIOps task theme(s), graph artifact type (KG/SDG), construction logic (topology-first/schema-first), retrieval operator family </w:t>
            </w:r>
            <w:r>
              <w:rPr>
                <w:rFonts w:ascii="Arial" w:hAnsi="Arial" w:cs="Arial"/>
                <w:color w:val="auto"/>
                <w:sz w:val="18"/>
                <w:szCs w:val="18"/>
              </w:rPr>
              <w:lastRenderedPageBreak/>
              <w:t>(traversal/query/embedding/hybrid-fusion/unclear), operational setting, contribution type, and binary flags for hybrid-retrieval use and public-data use. Aggregate characteristics are reported across Sections 3.1–3.3.</w:t>
            </w:r>
          </w:p>
        </w:tc>
      </w:tr>
      <w:tr w:rsidR="00661B10" w14:paraId="1DA53578"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4928"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3260" w:type="dxa"/>
            <w:tcBorders>
              <w:top w:val="single" w:sz="4" w:space="0" w:color="000000"/>
              <w:left w:val="single" w:sz="4" w:space="0" w:color="000000"/>
              <w:bottom w:val="single" w:sz="4" w:space="0" w:color="000000"/>
              <w:right w:val="single" w:sz="4" w:space="0" w:color="000000"/>
            </w:tcBorders>
          </w:tcPr>
          <w:p w14:paraId="7897FD3B"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3.3; Figures 5 and 6</w:t>
            </w:r>
          </w:p>
        </w:tc>
        <w:tc>
          <w:tcPr>
            <w:tcW w:w="4848" w:type="dxa"/>
            <w:tcBorders>
              <w:top w:val="single" w:sz="4" w:space="0" w:color="000000"/>
              <w:left w:val="single" w:sz="4" w:space="0" w:color="000000"/>
              <w:bottom w:val="single" w:sz="4" w:space="0" w:color="000000"/>
              <w:right w:val="single" w:sz="4" w:space="0" w:color="000000"/>
            </w:tcBorders>
          </w:tcPr>
          <w:p w14:paraId="4338D1EA"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No formal validated study-level </w:t>
            </w:r>
            <w:proofErr w:type="spellStart"/>
            <w:r>
              <w:rPr>
                <w:rFonts w:ascii="Arial" w:hAnsi="Arial" w:cs="Arial"/>
                <w:color w:val="auto"/>
                <w:sz w:val="18"/>
                <w:szCs w:val="18"/>
              </w:rPr>
              <w:t>RoB</w:t>
            </w:r>
            <w:proofErr w:type="spellEnd"/>
            <w:r>
              <w:rPr>
                <w:rFonts w:ascii="Arial" w:hAnsi="Arial" w:cs="Arial"/>
                <w:color w:val="auto"/>
                <w:sz w:val="18"/>
                <w:szCs w:val="18"/>
              </w:rPr>
              <w:t xml:space="preserve"> instrument was applied (see Item 11). Instead, the paper-level reporting-gap matrix in Figure 5 reports, for each of the 32 included studies, the presence/absence of reporting on drift handling, latency/cost bounding, entity resolution, dataset disclosure, and governance/PII controls. Figure 6 presents the same information stratified by graph artifact type.</w:t>
            </w:r>
          </w:p>
        </w:tc>
      </w:tr>
      <w:tr w:rsidR="00661B10" w14:paraId="5177A1A1"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4928"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3260" w:type="dxa"/>
            <w:tcBorders>
              <w:top w:val="single" w:sz="4" w:space="0" w:color="000000"/>
              <w:left w:val="single" w:sz="4" w:space="0" w:color="000000"/>
              <w:bottom w:val="single" w:sz="4" w:space="0" w:color="000000"/>
              <w:right w:val="single" w:sz="4" w:space="0" w:color="000000"/>
            </w:tcBorders>
          </w:tcPr>
          <w:p w14:paraId="43E181A6"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Table C1 (Appendix C); supplementary file Extract-results-review-quantitative_metrics_matrix.xlsx</w:t>
            </w:r>
          </w:p>
        </w:tc>
        <w:tc>
          <w:tcPr>
            <w:tcW w:w="4848" w:type="dxa"/>
            <w:tcBorders>
              <w:top w:val="single" w:sz="4" w:space="0" w:color="000000"/>
              <w:left w:val="single" w:sz="4" w:space="0" w:color="000000"/>
              <w:bottom w:val="single" w:sz="4" w:space="0" w:color="000000"/>
              <w:right w:val="single" w:sz="4" w:space="0" w:color="000000"/>
            </w:tcBorders>
          </w:tcPr>
          <w:p w14:paraId="4F28A2FA"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Per-study characteristics are tabulated in Table C1 (Appendix C). Per-study quantitative metrics (localization accuracy, Precision/F1, MTTR reduction, retrieval/inference latency, graph construction cost) extracted from each study’s reported results are provided in the supplementary file Extract-results-review-quantitative_metrics_matrix.xlsx. Effect-estimate-with-CI tables are not provided because primary studies generally do not report variance/CI (see Section 2.4).</w:t>
            </w:r>
          </w:p>
        </w:tc>
      </w:tr>
      <w:tr w:rsidR="00661B10" w14:paraId="5971E626" w14:textId="77777777" w:rsidTr="00864C2C">
        <w:trPr>
          <w:trHeight w:val="48"/>
        </w:trPr>
        <w:tc>
          <w:tcPr>
            <w:tcW w:w="1568" w:type="dxa"/>
            <w:vMerge w:val="restart"/>
            <w:tcBorders>
              <w:top w:val="single" w:sz="4" w:space="0" w:color="000000"/>
              <w:left w:val="single" w:sz="4" w:space="0" w:color="000000"/>
              <w:right w:val="single" w:sz="4" w:space="0" w:color="000000"/>
            </w:tcBorders>
          </w:tcPr>
          <w:p w14:paraId="16BFCE5C" w14:textId="77777777" w:rsidR="00661B10"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4928"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3260" w:type="dxa"/>
            <w:tcBorders>
              <w:top w:val="single" w:sz="4" w:space="0" w:color="000000"/>
              <w:left w:val="single" w:sz="4" w:space="0" w:color="000000"/>
              <w:bottom w:val="single" w:sz="4" w:space="0" w:color="000000"/>
              <w:right w:val="single" w:sz="4" w:space="0" w:color="000000"/>
            </w:tcBorders>
          </w:tcPr>
          <w:p w14:paraId="7395E36F"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3.1, 3.2, 3.3; Figures 5 and 6</w:t>
            </w:r>
          </w:p>
        </w:tc>
        <w:tc>
          <w:tcPr>
            <w:tcW w:w="4848" w:type="dxa"/>
            <w:tcBorders>
              <w:top w:val="single" w:sz="4" w:space="0" w:color="000000"/>
              <w:left w:val="single" w:sz="4" w:space="0" w:color="000000"/>
              <w:bottom w:val="single" w:sz="4" w:space="0" w:color="000000"/>
              <w:right w:val="single" w:sz="4" w:space="0" w:color="000000"/>
            </w:tcBorders>
          </w:tcPr>
          <w:p w14:paraId="09E7AB3F"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Sections 3.1 (Construction, n=32), 3.2 (Retrieval, n=32), and 3.3 (Production/Evaluation, n=32) each summarize the relevant subset characteristics. Reporting-completeness across the 32 studies is presented in Figure 5; stratification by graph artifact type (KG vs SDG) is presented in Figure 6. No formal </w:t>
            </w:r>
            <w:proofErr w:type="spellStart"/>
            <w:r>
              <w:rPr>
                <w:rFonts w:ascii="Arial" w:hAnsi="Arial" w:cs="Arial"/>
                <w:color w:val="auto"/>
                <w:sz w:val="18"/>
                <w:szCs w:val="18"/>
              </w:rPr>
              <w:t>RoB</w:t>
            </w:r>
            <w:proofErr w:type="spellEnd"/>
            <w:r>
              <w:rPr>
                <w:rFonts w:ascii="Arial" w:hAnsi="Arial" w:cs="Arial"/>
                <w:color w:val="auto"/>
                <w:sz w:val="18"/>
                <w:szCs w:val="18"/>
              </w:rPr>
              <w:t xml:space="preserve"> instrument was applied (see Item 11).</w:t>
            </w:r>
          </w:p>
        </w:tc>
      </w:tr>
      <w:tr w:rsidR="00661B10" w14:paraId="5E2D33D7" w14:textId="77777777" w:rsidTr="00864C2C">
        <w:trPr>
          <w:trHeight w:val="203"/>
        </w:trPr>
        <w:tc>
          <w:tcPr>
            <w:tcW w:w="1568" w:type="dxa"/>
            <w:vMerge/>
            <w:tcBorders>
              <w:left w:val="single" w:sz="4" w:space="0" w:color="000000"/>
              <w:right w:val="single" w:sz="4" w:space="0" w:color="000000"/>
            </w:tcBorders>
          </w:tcPr>
          <w:p w14:paraId="4760E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4928" w:type="dxa"/>
            <w:tcBorders>
              <w:top w:val="single" w:sz="4" w:space="0" w:color="000000"/>
              <w:left w:val="single" w:sz="4" w:space="0" w:color="000000"/>
              <w:bottom w:val="single" w:sz="4" w:space="0" w:color="000000"/>
              <w:right w:val="single" w:sz="4" w:space="0" w:color="000000"/>
            </w:tcBorders>
          </w:tcPr>
          <w:p w14:paraId="214F5C2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3260" w:type="dxa"/>
            <w:tcBorders>
              <w:top w:val="single" w:sz="4" w:space="0" w:color="000000"/>
              <w:left w:val="single" w:sz="4" w:space="0" w:color="000000"/>
              <w:bottom w:val="single" w:sz="4" w:space="0" w:color="000000"/>
              <w:right w:val="single" w:sz="4" w:space="0" w:color="000000"/>
            </w:tcBorders>
          </w:tcPr>
          <w:p w14:paraId="7C8F8A3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3.1, 3.2, 3.3; Figure 8</w:t>
            </w:r>
          </w:p>
        </w:tc>
        <w:tc>
          <w:tcPr>
            <w:tcW w:w="4848" w:type="dxa"/>
            <w:tcBorders>
              <w:top w:val="single" w:sz="4" w:space="0" w:color="000000"/>
              <w:left w:val="single" w:sz="4" w:space="0" w:color="000000"/>
              <w:bottom w:val="single" w:sz="4" w:space="0" w:color="000000"/>
              <w:right w:val="single" w:sz="4" w:space="0" w:color="000000"/>
            </w:tcBorders>
          </w:tcPr>
          <w:p w14:paraId="62026180"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Synthesis is descriptive (no pooled effect estimates). Key results: SDGs dominate (22/32) vs KGs (10/32); construction is topology-first (24/32) vs schema-first (8/32) (Section 3.1). Retrieval operators: hybrid-fusion 11/32, embedding 9/32, traversal 6/32, query 2/32, unclear 4/32 (Section 3.2). Reporting gaps: drift handling not described 21/32, latency/cost bounds not enforced 18/32, entity resolution omitted 12/32 (Section 3.3). Reported retrieval/inference latency ranges from 11.8 </w:t>
            </w:r>
            <w:proofErr w:type="spellStart"/>
            <w:r>
              <w:rPr>
                <w:rFonts w:ascii="Arial" w:hAnsi="Arial" w:cs="Arial"/>
                <w:color w:val="auto"/>
                <w:sz w:val="18"/>
                <w:szCs w:val="18"/>
              </w:rPr>
              <w:t>ms</w:t>
            </w:r>
            <w:proofErr w:type="spellEnd"/>
            <w:r>
              <w:rPr>
                <w:rFonts w:ascii="Arial" w:hAnsi="Arial" w:cs="Arial"/>
                <w:color w:val="auto"/>
                <w:sz w:val="18"/>
                <w:szCs w:val="18"/>
              </w:rPr>
              <w:t xml:space="preserve"> to ~330 s across the 12 studies that report it (Section 3.3.3, Figure 8).</w:t>
            </w:r>
          </w:p>
        </w:tc>
      </w:tr>
      <w:tr w:rsidR="00661B10" w14:paraId="0068C3D5" w14:textId="77777777" w:rsidTr="00864C2C">
        <w:trPr>
          <w:trHeight w:val="48"/>
        </w:trPr>
        <w:tc>
          <w:tcPr>
            <w:tcW w:w="1568"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4928"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3260" w:type="dxa"/>
            <w:tcBorders>
              <w:top w:val="single" w:sz="4" w:space="0" w:color="000000"/>
              <w:left w:val="single" w:sz="4" w:space="0" w:color="000000"/>
              <w:bottom w:val="single" w:sz="4" w:space="0" w:color="000000"/>
              <w:right w:val="single" w:sz="4" w:space="0" w:color="000000"/>
            </w:tcBorders>
          </w:tcPr>
          <w:p w14:paraId="05D8123F"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3.3; Figures 5 and 6</w:t>
            </w:r>
          </w:p>
        </w:tc>
        <w:tc>
          <w:tcPr>
            <w:tcW w:w="4848" w:type="dxa"/>
            <w:tcBorders>
              <w:top w:val="single" w:sz="4" w:space="0" w:color="000000"/>
              <w:left w:val="single" w:sz="4" w:space="0" w:color="000000"/>
              <w:bottom w:val="single" w:sz="4" w:space="0" w:color="000000"/>
              <w:right w:val="single" w:sz="4" w:space="0" w:color="000000"/>
            </w:tcBorders>
          </w:tcPr>
          <w:p w14:paraId="2B1D2D98"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Stratified analysis by graph artifact type: drift/staleness handling omitted in 16/22 (73%) of SDG-centric studies vs 5/10 (50%) of KG-centric studies; latency/cost-bounding mechanisms omitted in 11/22 (50%) of SDG studies vs 7/10 (70%) of KG studies; dataset-type disclosure omitted in 2/22 (9%) of SDG studies vs 4/10 (40%) of KG studies </w:t>
            </w:r>
            <w:r>
              <w:rPr>
                <w:rFonts w:ascii="Arial" w:hAnsi="Arial" w:cs="Arial"/>
                <w:color w:val="auto"/>
                <w:sz w:val="18"/>
                <w:szCs w:val="18"/>
              </w:rPr>
              <w:lastRenderedPageBreak/>
              <w:t>(Section 3.3, Figure 6).</w:t>
            </w:r>
          </w:p>
        </w:tc>
      </w:tr>
      <w:tr w:rsidR="00661B10" w14:paraId="2E1B6CDF" w14:textId="77777777" w:rsidTr="00864C2C">
        <w:trPr>
          <w:trHeight w:val="48"/>
        </w:trPr>
        <w:tc>
          <w:tcPr>
            <w:tcW w:w="1568" w:type="dxa"/>
            <w:vMerge/>
            <w:tcBorders>
              <w:left w:val="single" w:sz="4" w:space="0" w:color="000000"/>
              <w:bottom w:val="single" w:sz="4" w:space="0" w:color="000000"/>
              <w:right w:val="single" w:sz="4" w:space="0" w:color="000000"/>
            </w:tcBorders>
          </w:tcPr>
          <w:p w14:paraId="456A020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4928" w:type="dxa"/>
            <w:tcBorders>
              <w:top w:val="single" w:sz="4" w:space="0" w:color="000000"/>
              <w:left w:val="single" w:sz="4" w:space="0" w:color="000000"/>
              <w:bottom w:val="single" w:sz="4" w:space="0" w:color="000000"/>
              <w:right w:val="single" w:sz="4" w:space="0" w:color="000000"/>
            </w:tcBorders>
          </w:tcPr>
          <w:p w14:paraId="45824D6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3260" w:type="dxa"/>
            <w:tcBorders>
              <w:top w:val="single" w:sz="4" w:space="0" w:color="000000"/>
              <w:left w:val="single" w:sz="4" w:space="0" w:color="000000"/>
              <w:bottom w:val="single" w:sz="4" w:space="0" w:color="000000"/>
              <w:right w:val="single" w:sz="4" w:space="0" w:color="000000"/>
            </w:tcBorders>
          </w:tcPr>
          <w:p w14:paraId="32E0B1FA"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Not applicable — see Section 2.4</w:t>
            </w:r>
          </w:p>
        </w:tc>
        <w:tc>
          <w:tcPr>
            <w:tcW w:w="4848" w:type="dxa"/>
            <w:tcBorders>
              <w:top w:val="single" w:sz="4" w:space="0" w:color="000000"/>
              <w:left w:val="single" w:sz="4" w:space="0" w:color="000000"/>
              <w:bottom w:val="single" w:sz="4" w:space="0" w:color="000000"/>
              <w:right w:val="single" w:sz="4" w:space="0" w:color="000000"/>
            </w:tcBorders>
          </w:tcPr>
          <w:p w14:paraId="45243D8D"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 sensitivity analyses were performed on synthesized estimates because the synthesis is descriptive (counts/percentages/normalized ranges) rather than producing pooled effect estimates.</w:t>
            </w:r>
          </w:p>
        </w:tc>
      </w:tr>
      <w:tr w:rsidR="00661B10" w14:paraId="3BA04E95"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2156C072"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4928" w:type="dxa"/>
            <w:tcBorders>
              <w:top w:val="single" w:sz="4" w:space="0" w:color="000000"/>
              <w:left w:val="single" w:sz="4" w:space="0" w:color="000000"/>
              <w:bottom w:val="single" w:sz="4" w:space="0" w:color="000000"/>
              <w:right w:val="single" w:sz="4" w:space="0" w:color="000000"/>
            </w:tcBorders>
          </w:tcPr>
          <w:p w14:paraId="5A87793F"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3260" w:type="dxa"/>
            <w:tcBorders>
              <w:top w:val="single" w:sz="4" w:space="0" w:color="000000"/>
              <w:left w:val="single" w:sz="4" w:space="0" w:color="000000"/>
              <w:bottom w:val="single" w:sz="4" w:space="0" w:color="000000"/>
              <w:right w:val="single" w:sz="4" w:space="0" w:color="000000"/>
            </w:tcBorders>
          </w:tcPr>
          <w:p w14:paraId="1A435861"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2.5 and 3.3</w:t>
            </w:r>
          </w:p>
        </w:tc>
        <w:tc>
          <w:tcPr>
            <w:tcW w:w="4848" w:type="dxa"/>
            <w:tcBorders>
              <w:top w:val="single" w:sz="4" w:space="0" w:color="000000"/>
              <w:left w:val="single" w:sz="4" w:space="0" w:color="000000"/>
              <w:bottom w:val="single" w:sz="4" w:space="0" w:color="000000"/>
              <w:right w:val="single" w:sz="4" w:space="0" w:color="000000"/>
            </w:tcBorders>
          </w:tcPr>
          <w:p w14:paraId="7928A38A"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2.5 acknowledges that studies reporting latency are a non-random subset; preprints (multiple 2025–2026) are flagged as provisional. Section 3.3 quantifies paper-level reporting incompleteness across the 32 studies for drift handling (21/32), latency/cost bounding (18/32), entity resolution (12/32), and governance/PII controls (Section 3.3.3). These quantify the </w:t>
            </w:r>
            <w:proofErr w:type="gramStart"/>
            <w:r>
              <w:rPr>
                <w:rFonts w:ascii="Arial" w:hAnsi="Arial" w:cs="Arial"/>
                <w:color w:val="auto"/>
                <w:sz w:val="18"/>
                <w:szCs w:val="18"/>
              </w:rPr>
              <w:t>missing-results</w:t>
            </w:r>
            <w:proofErr w:type="gramEnd"/>
            <w:r>
              <w:rPr>
                <w:rFonts w:ascii="Arial" w:hAnsi="Arial" w:cs="Arial"/>
                <w:color w:val="auto"/>
                <w:sz w:val="18"/>
                <w:szCs w:val="18"/>
              </w:rPr>
              <w:t xml:space="preserve"> / under-reporting profile of the literature.</w:t>
            </w:r>
          </w:p>
        </w:tc>
      </w:tr>
      <w:tr w:rsidR="00661B10" w14:paraId="7883CDDB"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4E8D53DB"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4928" w:type="dxa"/>
            <w:tcBorders>
              <w:top w:val="single" w:sz="4" w:space="0" w:color="000000"/>
              <w:left w:val="single" w:sz="4" w:space="0" w:color="000000"/>
              <w:bottom w:val="single" w:sz="4" w:space="0" w:color="000000"/>
              <w:right w:val="single" w:sz="4" w:space="0" w:color="000000"/>
            </w:tcBorders>
          </w:tcPr>
          <w:p w14:paraId="31892DC8"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3260" w:type="dxa"/>
            <w:tcBorders>
              <w:top w:val="single" w:sz="4" w:space="0" w:color="000000"/>
              <w:left w:val="single" w:sz="4" w:space="0" w:color="000000"/>
              <w:bottom w:val="single" w:sz="4" w:space="0" w:color="000000"/>
              <w:right w:val="single" w:sz="4" w:space="0" w:color="000000"/>
            </w:tcBorders>
          </w:tcPr>
          <w:p w14:paraId="76AE189C"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2.5</w:t>
            </w:r>
          </w:p>
        </w:tc>
        <w:tc>
          <w:tcPr>
            <w:tcW w:w="4848" w:type="dxa"/>
            <w:tcBorders>
              <w:top w:val="single" w:sz="4" w:space="0" w:color="000000"/>
              <w:left w:val="single" w:sz="4" w:space="0" w:color="000000"/>
              <w:bottom w:val="single" w:sz="4" w:space="0" w:color="000000"/>
              <w:right w:val="single" w:sz="4" w:space="0" w:color="000000"/>
            </w:tcBorders>
          </w:tcPr>
          <w:p w14:paraId="5F6DCBBB"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A formal certainty rating per outcome (e.g., GRADE) was not produced because no pooled effect estimates were generated and the research questions are systems-design rather than effect-size questions. Confidence in findings is discussed narratively in Section 2.5, including the provisional status of preprint-derived findings and the reporting-completeness profile in Section 3.3.</w:t>
            </w:r>
          </w:p>
        </w:tc>
      </w:tr>
      <w:tr w:rsidR="00661B10" w14:paraId="700A378E"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000000">
            <w:pPr>
              <w:pStyle w:val="Default"/>
              <w:rPr>
                <w:rFonts w:ascii="Arial" w:hAnsi="Arial" w:cs="Arial"/>
                <w:sz w:val="18"/>
                <w:szCs w:val="18"/>
              </w:rPr>
            </w:pPr>
            <w:r>
              <w:rPr>
                <w:rFonts w:ascii="Arial" w:hAnsi="Arial" w:cs="Arial"/>
                <w:b/>
                <w:bCs/>
                <w:sz w:val="18"/>
                <w:szCs w:val="18"/>
              </w:rPr>
              <w:t xml:space="preserve">DISCUSSION </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661B10" w14:paraId="46C67EFC" w14:textId="77777777" w:rsidTr="00864C2C">
        <w:trPr>
          <w:trHeight w:val="48"/>
        </w:trPr>
        <w:tc>
          <w:tcPr>
            <w:tcW w:w="1568" w:type="dxa"/>
            <w:vMerge w:val="restart"/>
            <w:tcBorders>
              <w:top w:val="single" w:sz="4" w:space="0" w:color="000000"/>
              <w:left w:val="single" w:sz="4" w:space="0" w:color="000000"/>
              <w:right w:val="single" w:sz="4" w:space="0" w:color="000000"/>
            </w:tcBorders>
          </w:tcPr>
          <w:p w14:paraId="6A415BD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4928" w:type="dxa"/>
            <w:tcBorders>
              <w:top w:val="single" w:sz="4" w:space="0" w:color="000000"/>
              <w:left w:val="single" w:sz="4" w:space="0" w:color="000000"/>
              <w:bottom w:val="single" w:sz="4" w:space="0" w:color="000000"/>
              <w:right w:val="single" w:sz="4" w:space="0" w:color="000000"/>
            </w:tcBorders>
          </w:tcPr>
          <w:p w14:paraId="3180C0BE" w14:textId="77777777" w:rsidR="00661B10"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3260" w:type="dxa"/>
            <w:tcBorders>
              <w:top w:val="single" w:sz="4" w:space="0" w:color="000000"/>
              <w:left w:val="single" w:sz="4" w:space="0" w:color="000000"/>
              <w:bottom w:val="single" w:sz="4" w:space="0" w:color="000000"/>
              <w:right w:val="single" w:sz="4" w:space="0" w:color="000000"/>
            </w:tcBorders>
          </w:tcPr>
          <w:p w14:paraId="336F0287"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4 (and 4.1)</w:t>
            </w:r>
          </w:p>
        </w:tc>
        <w:tc>
          <w:tcPr>
            <w:tcW w:w="4848" w:type="dxa"/>
            <w:tcBorders>
              <w:top w:val="single" w:sz="4" w:space="0" w:color="000000"/>
              <w:left w:val="single" w:sz="4" w:space="0" w:color="000000"/>
              <w:bottom w:val="single" w:sz="4" w:space="0" w:color="000000"/>
              <w:right w:val="single" w:sz="4" w:space="0" w:color="000000"/>
            </w:tcBorders>
          </w:tcPr>
          <w:p w14:paraId="3AD6481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4 interprets the review findings: the “Static Graph Fallacy” (Section 4.1) is articulated as a systemic disconnect between dynamic IT operations and the static graph architectures observed in 21/32 studies. The three deployment-blocking dimensions (topology drift 11/32 address it; unbounded latency 16/32 do not bound it; identity fragmentation 12/32 omit entity resolution) are mapped to evidence. Findings are related to RAGAs/ARES evaluation frameworks and the KG+LLM unification literature (Section 5).</w:t>
            </w:r>
          </w:p>
        </w:tc>
      </w:tr>
      <w:tr w:rsidR="00661B10" w14:paraId="77FCBDAB" w14:textId="77777777" w:rsidTr="00864C2C">
        <w:trPr>
          <w:trHeight w:val="48"/>
        </w:trPr>
        <w:tc>
          <w:tcPr>
            <w:tcW w:w="1568" w:type="dxa"/>
            <w:vMerge/>
            <w:tcBorders>
              <w:left w:val="single" w:sz="4" w:space="0" w:color="000000"/>
              <w:right w:val="single" w:sz="4" w:space="0" w:color="000000"/>
            </w:tcBorders>
          </w:tcPr>
          <w:p w14:paraId="34E4593B"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4928" w:type="dxa"/>
            <w:tcBorders>
              <w:top w:val="single" w:sz="4" w:space="0" w:color="000000"/>
              <w:left w:val="single" w:sz="4" w:space="0" w:color="000000"/>
              <w:bottom w:val="single" w:sz="4" w:space="0" w:color="000000"/>
              <w:right w:val="single" w:sz="4" w:space="0" w:color="000000"/>
            </w:tcBorders>
          </w:tcPr>
          <w:p w14:paraId="2BC239AF"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3260" w:type="dxa"/>
            <w:tcBorders>
              <w:top w:val="single" w:sz="4" w:space="0" w:color="000000"/>
              <w:left w:val="single" w:sz="4" w:space="0" w:color="000000"/>
              <w:bottom w:val="single" w:sz="4" w:space="0" w:color="000000"/>
              <w:right w:val="single" w:sz="4" w:space="0" w:color="000000"/>
            </w:tcBorders>
          </w:tcPr>
          <w:p w14:paraId="552BBDFF"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2.5 and 3.3</w:t>
            </w:r>
          </w:p>
        </w:tc>
        <w:tc>
          <w:tcPr>
            <w:tcW w:w="4848" w:type="dxa"/>
            <w:tcBorders>
              <w:top w:val="single" w:sz="4" w:space="0" w:color="000000"/>
              <w:left w:val="single" w:sz="4" w:space="0" w:color="000000"/>
              <w:bottom w:val="single" w:sz="4" w:space="0" w:color="000000"/>
              <w:right w:val="single" w:sz="4" w:space="0" w:color="000000"/>
            </w:tcBorders>
          </w:tcPr>
          <w:p w14:paraId="7FFFDD2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2.5 — limitations of the evidence base: selection/reporting bias for latency; non-comparable measurement boundaries (retrieval-only vs </w:t>
            </w:r>
            <w:proofErr w:type="spellStart"/>
            <w:r>
              <w:rPr>
                <w:rFonts w:ascii="Arial" w:hAnsi="Arial" w:cs="Arial"/>
                <w:color w:val="auto"/>
                <w:sz w:val="18"/>
                <w:szCs w:val="18"/>
              </w:rPr>
              <w:t>retrieval+generation</w:t>
            </w:r>
            <w:proofErr w:type="spellEnd"/>
            <w:r>
              <w:rPr>
                <w:rFonts w:ascii="Arial" w:hAnsi="Arial" w:cs="Arial"/>
                <w:color w:val="auto"/>
                <w:sz w:val="18"/>
                <w:szCs w:val="18"/>
              </w:rPr>
              <w:t>; warm vs cold cache; single-query vs throughput); inclusion of preprints whose results may change. Section 3.3 documents reporting incompleteness across production-readiness mechanisms in the included corpus.</w:t>
            </w:r>
          </w:p>
        </w:tc>
      </w:tr>
      <w:tr w:rsidR="00661B10" w14:paraId="08190D97" w14:textId="77777777" w:rsidTr="00864C2C">
        <w:trPr>
          <w:trHeight w:val="48"/>
        </w:trPr>
        <w:tc>
          <w:tcPr>
            <w:tcW w:w="1568" w:type="dxa"/>
            <w:vMerge/>
            <w:tcBorders>
              <w:left w:val="single" w:sz="4" w:space="0" w:color="000000"/>
              <w:right w:val="single" w:sz="4" w:space="0" w:color="000000"/>
            </w:tcBorders>
          </w:tcPr>
          <w:p w14:paraId="3276A06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4928" w:type="dxa"/>
            <w:tcBorders>
              <w:top w:val="single" w:sz="4" w:space="0" w:color="000000"/>
              <w:left w:val="single" w:sz="4" w:space="0" w:color="000000"/>
              <w:bottom w:val="single" w:sz="4" w:space="0" w:color="000000"/>
              <w:right w:val="single" w:sz="4" w:space="0" w:color="000000"/>
            </w:tcBorders>
          </w:tcPr>
          <w:p w14:paraId="1ADE0693"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3260" w:type="dxa"/>
            <w:tcBorders>
              <w:top w:val="single" w:sz="4" w:space="0" w:color="000000"/>
              <w:left w:val="single" w:sz="4" w:space="0" w:color="000000"/>
              <w:bottom w:val="single" w:sz="4" w:space="0" w:color="000000"/>
              <w:right w:val="single" w:sz="4" w:space="0" w:color="000000"/>
            </w:tcBorders>
          </w:tcPr>
          <w:p w14:paraId="52AEF35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2.5</w:t>
            </w:r>
          </w:p>
        </w:tc>
        <w:tc>
          <w:tcPr>
            <w:tcW w:w="4848" w:type="dxa"/>
            <w:tcBorders>
              <w:top w:val="single" w:sz="4" w:space="0" w:color="000000"/>
              <w:left w:val="single" w:sz="4" w:space="0" w:color="000000"/>
              <w:bottom w:val="single" w:sz="4" w:space="0" w:color="000000"/>
              <w:right w:val="single" w:sz="4" w:space="0" w:color="000000"/>
            </w:tcBorders>
          </w:tcPr>
          <w:p w14:paraId="21A9B2C8"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2.5 — limitations of the review process itself: AI-assisted screening/extraction (Elicit) carries known recall limitations vs. expert searching, mitigated by (</w:t>
            </w:r>
            <w:proofErr w:type="spellStart"/>
            <w:r>
              <w:rPr>
                <w:rFonts w:ascii="Arial" w:hAnsi="Arial" w:cs="Arial"/>
                <w:color w:val="auto"/>
                <w:sz w:val="18"/>
                <w:szCs w:val="18"/>
              </w:rPr>
              <w:t>i</w:t>
            </w:r>
            <w:proofErr w:type="spellEnd"/>
            <w:r>
              <w:rPr>
                <w:rFonts w:ascii="Arial" w:hAnsi="Arial" w:cs="Arial"/>
                <w:color w:val="auto"/>
                <w:sz w:val="18"/>
                <w:szCs w:val="18"/>
              </w:rPr>
              <w:t xml:space="preserve">) author verification of all inclusion decisions, (ii) 10% manual audit of excluded abstracts, and (iii) row-by-row author verification of the extraction matrix; categorical coding </w:t>
            </w:r>
            <w:r>
              <w:rPr>
                <w:rFonts w:ascii="Arial" w:hAnsi="Arial" w:cs="Arial"/>
                <w:color w:val="auto"/>
                <w:sz w:val="18"/>
                <w:szCs w:val="18"/>
              </w:rPr>
              <w:lastRenderedPageBreak/>
              <w:t>subjectivity is mitigated by a predefined coding scheme with documented decision rules.</w:t>
            </w:r>
          </w:p>
        </w:tc>
      </w:tr>
      <w:tr w:rsidR="00661B10" w14:paraId="59D3612F" w14:textId="77777777" w:rsidTr="00864C2C">
        <w:trPr>
          <w:trHeight w:val="48"/>
        </w:trPr>
        <w:tc>
          <w:tcPr>
            <w:tcW w:w="1568" w:type="dxa"/>
            <w:vMerge/>
            <w:tcBorders>
              <w:left w:val="single" w:sz="4" w:space="0" w:color="000000"/>
              <w:bottom w:val="single" w:sz="4" w:space="0" w:color="auto"/>
              <w:right w:val="single" w:sz="4" w:space="0" w:color="000000"/>
            </w:tcBorders>
          </w:tcPr>
          <w:p w14:paraId="4105AB4C"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4928" w:type="dxa"/>
            <w:tcBorders>
              <w:top w:val="single" w:sz="4" w:space="0" w:color="000000"/>
              <w:left w:val="single" w:sz="4" w:space="0" w:color="auto"/>
              <w:bottom w:val="double" w:sz="4" w:space="0" w:color="000000"/>
              <w:right w:val="single" w:sz="4" w:space="0" w:color="000000"/>
            </w:tcBorders>
          </w:tcPr>
          <w:p w14:paraId="5FA0A2F2" w14:textId="77777777" w:rsidR="00661B10"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3260" w:type="dxa"/>
            <w:tcBorders>
              <w:top w:val="single" w:sz="4" w:space="0" w:color="000000"/>
              <w:left w:val="single" w:sz="4" w:space="0" w:color="000000"/>
              <w:bottom w:val="double" w:sz="4" w:space="0" w:color="000000"/>
              <w:right w:val="single" w:sz="4" w:space="0" w:color="000000"/>
            </w:tcBorders>
          </w:tcPr>
          <w:p w14:paraId="30980325"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Sections 4 and 5</w:t>
            </w:r>
          </w:p>
        </w:tc>
        <w:tc>
          <w:tcPr>
            <w:tcW w:w="4848" w:type="dxa"/>
            <w:tcBorders>
              <w:top w:val="single" w:sz="4" w:space="0" w:color="000000"/>
              <w:left w:val="single" w:sz="4" w:space="0" w:color="000000"/>
              <w:bottom w:val="double" w:sz="4" w:space="0" w:color="000000"/>
              <w:right w:val="single" w:sz="4" w:space="0" w:color="000000"/>
            </w:tcBorders>
          </w:tcPr>
          <w:p w14:paraId="3B709B26"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4 derives </w:t>
            </w:r>
            <w:proofErr w:type="spellStart"/>
            <w:r>
              <w:rPr>
                <w:rFonts w:ascii="Arial" w:hAnsi="Arial" w:cs="Arial"/>
                <w:color w:val="auto"/>
                <w:sz w:val="18"/>
                <w:szCs w:val="18"/>
              </w:rPr>
              <w:t>deployability</w:t>
            </w:r>
            <w:proofErr w:type="spellEnd"/>
            <w:r>
              <w:rPr>
                <w:rFonts w:ascii="Arial" w:hAnsi="Arial" w:cs="Arial"/>
                <w:color w:val="auto"/>
                <w:sz w:val="18"/>
                <w:szCs w:val="18"/>
              </w:rPr>
              <w:t>-oriented design requirements and outlines the ES-</w:t>
            </w:r>
            <w:proofErr w:type="spellStart"/>
            <w:r>
              <w:rPr>
                <w:rFonts w:ascii="Arial" w:hAnsi="Arial" w:cs="Arial"/>
                <w:color w:val="auto"/>
                <w:sz w:val="18"/>
                <w:szCs w:val="18"/>
              </w:rPr>
              <w:t>GraphRAG</w:t>
            </w:r>
            <w:proofErr w:type="spellEnd"/>
            <w:r>
              <w:rPr>
                <w:rFonts w:ascii="Arial" w:hAnsi="Arial" w:cs="Arial"/>
                <w:color w:val="auto"/>
                <w:sz w:val="18"/>
                <w:szCs w:val="18"/>
              </w:rPr>
              <w:t xml:space="preserve"> reference architecture (event-sourced ingestion; time-travel temporal-graph projection; budget-aware snapshot-consistent retrieval; probabilistic canonicalization service; retrieval-time ACL/PII gating). Section 5 “Conclusion” specifies implications for practice (operational-contract evaluation), policy (governance), and future research (standardize MTTR-reduction reporting, continuous graph-construction cost, and bounded retrieval-latency measurement).</w:t>
            </w:r>
          </w:p>
        </w:tc>
      </w:tr>
      <w:tr w:rsidR="00661B10" w14:paraId="77489217" w14:textId="77777777" w:rsidTr="00864C2C">
        <w:trPr>
          <w:trHeight w:val="24"/>
        </w:trPr>
        <w:tc>
          <w:tcPr>
            <w:tcW w:w="708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000000">
            <w:pPr>
              <w:pStyle w:val="Default"/>
              <w:rPr>
                <w:rFonts w:ascii="Arial" w:hAnsi="Arial" w:cs="Arial"/>
                <w:sz w:val="18"/>
                <w:szCs w:val="18"/>
              </w:rPr>
            </w:pPr>
            <w:r>
              <w:rPr>
                <w:rFonts w:ascii="Arial" w:hAnsi="Arial" w:cs="Arial"/>
                <w:b/>
                <w:bCs/>
                <w:sz w:val="18"/>
                <w:szCs w:val="18"/>
              </w:rPr>
              <w:t>OTHER INFORMATION</w:t>
            </w:r>
          </w:p>
        </w:tc>
        <w:tc>
          <w:tcPr>
            <w:tcW w:w="3260"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4848"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661B10" w14:paraId="69E64129" w14:textId="77777777" w:rsidTr="00864C2C">
        <w:trPr>
          <w:trHeight w:val="48"/>
        </w:trPr>
        <w:tc>
          <w:tcPr>
            <w:tcW w:w="1568" w:type="dxa"/>
            <w:vMerge w:val="restart"/>
            <w:tcBorders>
              <w:top w:val="single" w:sz="4" w:space="0" w:color="000000"/>
              <w:left w:val="single" w:sz="4" w:space="0" w:color="000000"/>
              <w:right w:val="single" w:sz="4" w:space="0" w:color="000000"/>
            </w:tcBorders>
          </w:tcPr>
          <w:p w14:paraId="56E3C875" w14:textId="77777777" w:rsidR="00661B10"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4928" w:type="dxa"/>
            <w:tcBorders>
              <w:top w:val="single" w:sz="4" w:space="0" w:color="000000"/>
              <w:left w:val="single" w:sz="4" w:space="0" w:color="000000"/>
              <w:bottom w:val="single" w:sz="4" w:space="0" w:color="000000"/>
              <w:right w:val="single" w:sz="4" w:space="0" w:color="000000"/>
            </w:tcBorders>
          </w:tcPr>
          <w:p w14:paraId="16AABB8D" w14:textId="77777777" w:rsidR="00661B10"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3260" w:type="dxa"/>
            <w:tcBorders>
              <w:top w:val="single" w:sz="4" w:space="0" w:color="000000"/>
              <w:left w:val="single" w:sz="4" w:space="0" w:color="000000"/>
              <w:bottom w:val="single" w:sz="4" w:space="0" w:color="000000"/>
              <w:right w:val="single" w:sz="4" w:space="0" w:color="000000"/>
            </w:tcBorders>
          </w:tcPr>
          <w:p w14:paraId="2EE9DE1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Not registered</w:t>
            </w:r>
          </w:p>
        </w:tc>
        <w:tc>
          <w:tcPr>
            <w:tcW w:w="4848" w:type="dxa"/>
            <w:tcBorders>
              <w:top w:val="single" w:sz="4" w:space="0" w:color="000000"/>
              <w:left w:val="single" w:sz="4" w:space="0" w:color="000000"/>
              <w:bottom w:val="single" w:sz="4" w:space="0" w:color="000000"/>
              <w:right w:val="single" w:sz="4" w:space="0" w:color="000000"/>
            </w:tcBorders>
          </w:tcPr>
          <w:p w14:paraId="2A38A0B3"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This systematic review was not prospectively registered in PROSPERO or any equivalent register. No registration number applies.</w:t>
            </w:r>
          </w:p>
        </w:tc>
      </w:tr>
      <w:tr w:rsidR="00661B10" w14:paraId="65774A90" w14:textId="77777777" w:rsidTr="00864C2C">
        <w:trPr>
          <w:trHeight w:val="57"/>
        </w:trPr>
        <w:tc>
          <w:tcPr>
            <w:tcW w:w="1568" w:type="dxa"/>
            <w:vMerge/>
            <w:tcBorders>
              <w:left w:val="single" w:sz="4" w:space="0" w:color="000000"/>
              <w:right w:val="single" w:sz="4" w:space="0" w:color="000000"/>
            </w:tcBorders>
          </w:tcPr>
          <w:p w14:paraId="038F19B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4928" w:type="dxa"/>
            <w:tcBorders>
              <w:top w:val="single" w:sz="4" w:space="0" w:color="000000"/>
              <w:left w:val="single" w:sz="4" w:space="0" w:color="000000"/>
              <w:bottom w:val="single" w:sz="4" w:space="0" w:color="000000"/>
              <w:right w:val="single" w:sz="4" w:space="0" w:color="000000"/>
            </w:tcBorders>
          </w:tcPr>
          <w:p w14:paraId="30E4D536" w14:textId="77777777" w:rsidR="00661B10"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3260" w:type="dxa"/>
            <w:tcBorders>
              <w:top w:val="single" w:sz="4" w:space="0" w:color="000000"/>
              <w:left w:val="single" w:sz="4" w:space="0" w:color="000000"/>
              <w:bottom w:val="single" w:sz="4" w:space="0" w:color="000000"/>
              <w:right w:val="single" w:sz="4" w:space="0" w:color="000000"/>
            </w:tcBorders>
          </w:tcPr>
          <w:p w14:paraId="55D44A96"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Protocol not prepared</w:t>
            </w:r>
          </w:p>
        </w:tc>
        <w:tc>
          <w:tcPr>
            <w:tcW w:w="4848" w:type="dxa"/>
            <w:tcBorders>
              <w:top w:val="single" w:sz="4" w:space="0" w:color="000000"/>
              <w:left w:val="single" w:sz="4" w:space="0" w:color="000000"/>
              <w:bottom w:val="single" w:sz="4" w:space="0" w:color="000000"/>
              <w:right w:val="single" w:sz="4" w:space="0" w:color="000000"/>
            </w:tcBorders>
          </w:tcPr>
          <w:p w14:paraId="4913FD6A"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A publicly accessible review protocol was not prepared in advance of the review. The procedural decisions (search strategy, eligibility criteria, coding scheme, extraction matrix, synthesis approach) are documented in Sections 2.1–2.5 and the supplementary materials.</w:t>
            </w:r>
          </w:p>
        </w:tc>
      </w:tr>
      <w:tr w:rsidR="00661B10" w14:paraId="2B495F3C" w14:textId="77777777" w:rsidTr="00864C2C">
        <w:trPr>
          <w:trHeight w:val="48"/>
        </w:trPr>
        <w:tc>
          <w:tcPr>
            <w:tcW w:w="1568" w:type="dxa"/>
            <w:vMerge/>
            <w:tcBorders>
              <w:left w:val="single" w:sz="4" w:space="0" w:color="000000"/>
              <w:bottom w:val="single" w:sz="4" w:space="0" w:color="000000"/>
              <w:right w:val="single" w:sz="4" w:space="0" w:color="000000"/>
            </w:tcBorders>
          </w:tcPr>
          <w:p w14:paraId="3F05BA6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4928" w:type="dxa"/>
            <w:tcBorders>
              <w:top w:val="single" w:sz="4" w:space="0" w:color="000000"/>
              <w:left w:val="single" w:sz="4" w:space="0" w:color="000000"/>
              <w:bottom w:val="single" w:sz="4" w:space="0" w:color="000000"/>
              <w:right w:val="single" w:sz="4" w:space="0" w:color="000000"/>
            </w:tcBorders>
          </w:tcPr>
          <w:p w14:paraId="0EA5EF40"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3260" w:type="dxa"/>
            <w:tcBorders>
              <w:top w:val="single" w:sz="4" w:space="0" w:color="000000"/>
              <w:left w:val="single" w:sz="4" w:space="0" w:color="000000"/>
              <w:bottom w:val="single" w:sz="4" w:space="0" w:color="000000"/>
              <w:right w:val="single" w:sz="4" w:space="0" w:color="000000"/>
            </w:tcBorders>
          </w:tcPr>
          <w:p w14:paraId="0ED81809"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Not applicable</w:t>
            </w:r>
          </w:p>
        </w:tc>
        <w:tc>
          <w:tcPr>
            <w:tcW w:w="4848" w:type="dxa"/>
            <w:tcBorders>
              <w:top w:val="single" w:sz="4" w:space="0" w:color="000000"/>
              <w:left w:val="single" w:sz="4" w:space="0" w:color="000000"/>
              <w:bottom w:val="single" w:sz="4" w:space="0" w:color="000000"/>
              <w:right w:val="single" w:sz="4" w:space="0" w:color="000000"/>
            </w:tcBorders>
          </w:tcPr>
          <w:p w14:paraId="09E765CB"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Not applicable — no protocol or registration exists to amend.</w:t>
            </w:r>
          </w:p>
        </w:tc>
      </w:tr>
      <w:tr w:rsidR="00661B10" w14:paraId="47011582"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568E03AB" w14:textId="77777777" w:rsidR="00661B10"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4928" w:type="dxa"/>
            <w:tcBorders>
              <w:top w:val="single" w:sz="4" w:space="0" w:color="000000"/>
              <w:left w:val="single" w:sz="4" w:space="0" w:color="000000"/>
              <w:bottom w:val="single" w:sz="4" w:space="0" w:color="000000"/>
              <w:right w:val="single" w:sz="4" w:space="0" w:color="000000"/>
            </w:tcBorders>
          </w:tcPr>
          <w:p w14:paraId="3D202DC4" w14:textId="77777777" w:rsidR="00661B10"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3260" w:type="dxa"/>
            <w:tcBorders>
              <w:top w:val="single" w:sz="4" w:space="0" w:color="000000"/>
              <w:left w:val="single" w:sz="4" w:space="0" w:color="000000"/>
              <w:bottom w:val="single" w:sz="4" w:space="0" w:color="000000"/>
              <w:right w:val="single" w:sz="4" w:space="0" w:color="000000"/>
            </w:tcBorders>
          </w:tcPr>
          <w:p w14:paraId="1688945E"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6 (“Funding Statement”)</w:t>
            </w:r>
          </w:p>
        </w:tc>
        <w:tc>
          <w:tcPr>
            <w:tcW w:w="4848" w:type="dxa"/>
            <w:tcBorders>
              <w:top w:val="single" w:sz="4" w:space="0" w:color="000000"/>
              <w:left w:val="single" w:sz="4" w:space="0" w:color="000000"/>
              <w:bottom w:val="single" w:sz="4" w:space="0" w:color="000000"/>
              <w:right w:val="single" w:sz="4" w:space="0" w:color="000000"/>
            </w:tcBorders>
          </w:tcPr>
          <w:p w14:paraId="1EA0A32C"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6 (Statements): “The authors received no specific funding for this study.” No funder had any role in the design, conduct, analysis, or reporting of the review.</w:t>
            </w:r>
          </w:p>
        </w:tc>
      </w:tr>
      <w:tr w:rsidR="00661B10" w14:paraId="2F67A73C" w14:textId="77777777" w:rsidTr="00864C2C">
        <w:trPr>
          <w:trHeight w:val="48"/>
        </w:trPr>
        <w:tc>
          <w:tcPr>
            <w:tcW w:w="1568" w:type="dxa"/>
            <w:tcBorders>
              <w:top w:val="single" w:sz="4" w:space="0" w:color="000000"/>
              <w:left w:val="single" w:sz="4" w:space="0" w:color="000000"/>
              <w:bottom w:val="single" w:sz="4" w:space="0" w:color="000000"/>
              <w:right w:val="single" w:sz="4" w:space="0" w:color="000000"/>
            </w:tcBorders>
          </w:tcPr>
          <w:p w14:paraId="27DA1532" w14:textId="77777777" w:rsidR="00661B10"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4928" w:type="dxa"/>
            <w:tcBorders>
              <w:top w:val="single" w:sz="4" w:space="0" w:color="000000"/>
              <w:left w:val="single" w:sz="4" w:space="0" w:color="000000"/>
              <w:bottom w:val="single" w:sz="4" w:space="0" w:color="000000"/>
              <w:right w:val="single" w:sz="4" w:space="0" w:color="000000"/>
            </w:tcBorders>
          </w:tcPr>
          <w:p w14:paraId="6C50B7A3" w14:textId="77777777" w:rsidR="00661B10"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3260" w:type="dxa"/>
            <w:tcBorders>
              <w:top w:val="single" w:sz="4" w:space="0" w:color="000000"/>
              <w:left w:val="single" w:sz="4" w:space="0" w:color="000000"/>
              <w:bottom w:val="single" w:sz="4" w:space="0" w:color="000000"/>
              <w:right w:val="single" w:sz="4" w:space="0" w:color="000000"/>
            </w:tcBorders>
          </w:tcPr>
          <w:p w14:paraId="6FA1E09F"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6 (“Conflicts of Interest”)</w:t>
            </w:r>
          </w:p>
        </w:tc>
        <w:tc>
          <w:tcPr>
            <w:tcW w:w="4848" w:type="dxa"/>
            <w:tcBorders>
              <w:top w:val="single" w:sz="4" w:space="0" w:color="000000"/>
              <w:left w:val="single" w:sz="4" w:space="0" w:color="000000"/>
              <w:bottom w:val="single" w:sz="4" w:space="0" w:color="000000"/>
              <w:right w:val="single" w:sz="4" w:space="0" w:color="000000"/>
            </w:tcBorders>
          </w:tcPr>
          <w:p w14:paraId="47749BB6"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6 (Statements): “The authors declare no conflicts of interest to report regarding the present study.”</w:t>
            </w:r>
          </w:p>
        </w:tc>
      </w:tr>
      <w:tr w:rsidR="00661B10" w14:paraId="129A5A72" w14:textId="77777777" w:rsidTr="00864C2C">
        <w:trPr>
          <w:trHeight w:val="219"/>
        </w:trPr>
        <w:tc>
          <w:tcPr>
            <w:tcW w:w="1568" w:type="dxa"/>
            <w:tcBorders>
              <w:top w:val="single" w:sz="4" w:space="0" w:color="000000"/>
              <w:left w:val="single" w:sz="4" w:space="0" w:color="000000"/>
              <w:bottom w:val="double" w:sz="4" w:space="0" w:color="000000"/>
              <w:right w:val="single" w:sz="4" w:space="0" w:color="000000"/>
            </w:tcBorders>
          </w:tcPr>
          <w:p w14:paraId="71A9B4E7" w14:textId="77777777" w:rsidR="00661B10"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4928" w:type="dxa"/>
            <w:tcBorders>
              <w:top w:val="single" w:sz="4" w:space="0" w:color="000000"/>
              <w:left w:val="single" w:sz="4" w:space="0" w:color="000000"/>
              <w:bottom w:val="double" w:sz="4" w:space="0" w:color="000000"/>
              <w:right w:val="single" w:sz="4" w:space="0" w:color="000000"/>
            </w:tcBorders>
          </w:tcPr>
          <w:p w14:paraId="619249F8"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Report which of the following are publicly available and where they can be </w:t>
            </w:r>
            <w:proofErr w:type="gramStart"/>
            <w:r>
              <w:rPr>
                <w:rFonts w:ascii="Arial" w:hAnsi="Arial" w:cs="Arial"/>
                <w:sz w:val="18"/>
                <w:szCs w:val="18"/>
              </w:rPr>
              <w:t>found:</w:t>
            </w:r>
            <w:proofErr w:type="gramEnd"/>
            <w:r>
              <w:rPr>
                <w:rFonts w:ascii="Arial" w:hAnsi="Arial" w:cs="Arial"/>
                <w:sz w:val="18"/>
                <w:szCs w:val="18"/>
              </w:rPr>
              <w:t xml:space="preserve"> template data collection forms; data extracted from included studies; data used for all analyses; analytic code; any other materials used in the review.</w:t>
            </w:r>
          </w:p>
        </w:tc>
        <w:tc>
          <w:tcPr>
            <w:tcW w:w="3260" w:type="dxa"/>
            <w:tcBorders>
              <w:top w:val="single" w:sz="4" w:space="0" w:color="000000"/>
              <w:left w:val="single" w:sz="4" w:space="0" w:color="000000"/>
              <w:bottom w:val="double" w:sz="4" w:space="0" w:color="000000"/>
              <w:right w:val="single" w:sz="4" w:space="0" w:color="000000"/>
            </w:tcBorders>
          </w:tcPr>
          <w:p w14:paraId="442C99F1"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Section 6 (“Availability of Data and Materials”); Supplementary Materials</w:t>
            </w:r>
          </w:p>
        </w:tc>
        <w:tc>
          <w:tcPr>
            <w:tcW w:w="4848" w:type="dxa"/>
            <w:tcBorders>
              <w:top w:val="single" w:sz="4" w:space="0" w:color="000000"/>
              <w:left w:val="single" w:sz="4" w:space="0" w:color="000000"/>
              <w:bottom w:val="double" w:sz="4" w:space="0" w:color="000000"/>
              <w:right w:val="single" w:sz="4" w:space="0" w:color="000000"/>
            </w:tcBorders>
          </w:tcPr>
          <w:p w14:paraId="2F398B02" w14:textId="77777777" w:rsidR="00661B10" w:rsidRDefault="00000000">
            <w:pPr>
              <w:pStyle w:val="Default"/>
              <w:spacing w:before="40" w:after="40"/>
              <w:rPr>
                <w:rFonts w:ascii="Arial" w:hAnsi="Arial" w:cs="Arial"/>
                <w:color w:val="auto"/>
                <w:sz w:val="18"/>
                <w:szCs w:val="18"/>
              </w:rPr>
            </w:pPr>
            <w:r>
              <w:rPr>
                <w:rFonts w:ascii="Arial" w:hAnsi="Arial" w:cs="Arial"/>
                <w:color w:val="auto"/>
                <w:sz w:val="18"/>
                <w:szCs w:val="18"/>
              </w:rPr>
              <w:t xml:space="preserve">Section 6 states that all reviewed papers are publicly cited and sourced from major repositories (IEEE Xplore, ACM Digital Library, ScienceDirect, SpringerLink, </w:t>
            </w:r>
            <w:proofErr w:type="spellStart"/>
            <w:r>
              <w:rPr>
                <w:rFonts w:ascii="Arial" w:hAnsi="Arial" w:cs="Arial"/>
                <w:color w:val="auto"/>
                <w:sz w:val="18"/>
                <w:szCs w:val="18"/>
              </w:rPr>
              <w:t>arXiv</w:t>
            </w:r>
            <w:proofErr w:type="spellEnd"/>
            <w:r>
              <w:rPr>
                <w:rFonts w:ascii="Arial" w:hAnsi="Arial" w:cs="Arial"/>
                <w:color w:val="auto"/>
                <w:sz w:val="18"/>
                <w:szCs w:val="18"/>
              </w:rPr>
              <w:t>). Supplementary files submitted with the manuscript: (</w:t>
            </w:r>
            <w:proofErr w:type="spellStart"/>
            <w:r>
              <w:rPr>
                <w:rFonts w:ascii="Arial" w:hAnsi="Arial" w:cs="Arial"/>
                <w:color w:val="auto"/>
                <w:sz w:val="18"/>
                <w:szCs w:val="18"/>
              </w:rPr>
              <w:t>i</w:t>
            </w:r>
            <w:proofErr w:type="spellEnd"/>
            <w:r>
              <w:rPr>
                <w:rFonts w:ascii="Arial" w:hAnsi="Arial" w:cs="Arial"/>
                <w:color w:val="auto"/>
                <w:sz w:val="18"/>
                <w:szCs w:val="18"/>
              </w:rPr>
              <w:t xml:space="preserve">) Search_Strings.pdf (verbatim per-database </w:t>
            </w:r>
            <w:proofErr w:type="spellStart"/>
            <w:r>
              <w:rPr>
                <w:rFonts w:ascii="Arial" w:hAnsi="Arial" w:cs="Arial"/>
                <w:color w:val="auto"/>
                <w:sz w:val="18"/>
                <w:szCs w:val="18"/>
              </w:rPr>
              <w:t>boolean</w:t>
            </w:r>
            <w:proofErr w:type="spellEnd"/>
            <w:r>
              <w:rPr>
                <w:rFonts w:ascii="Arial" w:hAnsi="Arial" w:cs="Arial"/>
                <w:color w:val="auto"/>
                <w:sz w:val="18"/>
                <w:szCs w:val="18"/>
              </w:rPr>
              <w:t xml:space="preserve"> query strings, date of last search, and result counts for Scopus, IEEE Xplore, Web of Science, and Google Scholar), (ii) Title_Abstract_Screening_results.xlsx (139 records with Elicit reasoning fields), (iii) Fulltext_Screening-results-review.xlsx (46 full-text records), (iv) Extract-results-review-data_extraction_matrix.xlsx (32 included studies × 20 fields), (v) Extract-results-review-quantitative_metrics_matrix.xlsx (per-study verified quantitative metrics). No bespoke analytic code beyond </w:t>
            </w:r>
            <w:r>
              <w:rPr>
                <w:rFonts w:ascii="Arial" w:hAnsi="Arial" w:cs="Arial"/>
                <w:color w:val="auto"/>
                <w:sz w:val="18"/>
                <w:szCs w:val="18"/>
              </w:rPr>
              <w:lastRenderedPageBreak/>
              <w:t>standard tabulation/normalization in the spreadsheets; the data-extraction-form template is provided as Table B1 in Appendix B.</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E47B" w14:textId="77777777" w:rsidR="00316DFA" w:rsidRDefault="00316DFA">
      <w:r>
        <w:separator/>
      </w:r>
    </w:p>
  </w:endnote>
  <w:endnote w:type="continuationSeparator" w:id="0">
    <w:p w14:paraId="475C77F8" w14:textId="77777777" w:rsidR="00316DFA" w:rsidRDefault="0031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85DF" w14:textId="77777777" w:rsidR="00316DFA" w:rsidRDefault="00316DFA">
      <w:r>
        <w:separator/>
      </w:r>
    </w:p>
  </w:footnote>
  <w:footnote w:type="continuationSeparator" w:id="0">
    <w:p w14:paraId="39FB1F9C" w14:textId="77777777" w:rsidR="00316DFA" w:rsidRDefault="0031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45EEB"/>
    <w:rsid w:val="00077B44"/>
    <w:rsid w:val="00080F7E"/>
    <w:rsid w:val="00150BE1"/>
    <w:rsid w:val="00152CDB"/>
    <w:rsid w:val="0018323E"/>
    <w:rsid w:val="00190C83"/>
    <w:rsid w:val="002275F3"/>
    <w:rsid w:val="00246C93"/>
    <w:rsid w:val="00256BAF"/>
    <w:rsid w:val="00276094"/>
    <w:rsid w:val="002A2A06"/>
    <w:rsid w:val="002F5A81"/>
    <w:rsid w:val="003103C2"/>
    <w:rsid w:val="00316DFA"/>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61B10"/>
    <w:rsid w:val="006E5C76"/>
    <w:rsid w:val="006E5FE2"/>
    <w:rsid w:val="006F3BA6"/>
    <w:rsid w:val="00726794"/>
    <w:rsid w:val="0075137B"/>
    <w:rsid w:val="0077253C"/>
    <w:rsid w:val="008412D5"/>
    <w:rsid w:val="00864C2C"/>
    <w:rsid w:val="008A3EAE"/>
    <w:rsid w:val="008D795B"/>
    <w:rsid w:val="008E2C91"/>
    <w:rsid w:val="00930A31"/>
    <w:rsid w:val="00947707"/>
    <w:rsid w:val="009827E5"/>
    <w:rsid w:val="009F6E22"/>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efaultImageDpi w14:val="33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3018</Words>
  <Characters>20829</Characters>
  <Application>Microsoft Office Word</Application>
  <DocSecurity>0</DocSecurity>
  <Lines>173</Lines>
  <Paragraphs>47</Paragraphs>
  <ScaleCrop>false</ScaleCrop>
  <Company/>
  <LinksUpToDate>false</LinksUpToDate>
  <CharactersWithSpaces>23800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Dr. Erdős Ferenc</cp:lastModifiedBy>
  <cp:revision>4</cp:revision>
  <cp:lastPrinted>2020-11-24T03:02:00Z</cp:lastPrinted>
  <dcterms:created xsi:type="dcterms:W3CDTF">2025-04-02T01:31:00Z</dcterms:created>
  <dcterms:modified xsi:type="dcterms:W3CDTF">2026-05-17T14:31:00Z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