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E1AD58" w14:textId="77777777" w:rsidR="004F7B35" w:rsidRPr="00484EFA" w:rsidRDefault="00AA02A9">
      <w:pPr>
        <w:pStyle w:val="TSP52figure"/>
        <w:rPr>
          <w:color w:val="000000" w:themeColor="text1"/>
        </w:rPr>
      </w:pPr>
      <w:r w:rsidRPr="00484EFA">
        <w:rPr>
          <w:noProof/>
          <w:color w:val="000000" w:themeColor="text1"/>
        </w:rPr>
        <w:drawing>
          <wp:inline distT="0" distB="0" distL="0" distR="0" wp14:anchorId="1434FDB6" wp14:editId="4FF5DC60">
            <wp:extent cx="5944870" cy="4824730"/>
            <wp:effectExtent l="0" t="0" r="0" b="0"/>
            <wp:docPr id="28539799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397998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482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3C657" w14:textId="77777777" w:rsidR="004F7B35" w:rsidRPr="00484EFA" w:rsidRDefault="00AA02A9">
      <w:pPr>
        <w:pStyle w:val="TSP51figurecaption"/>
        <w:rPr>
          <w:color w:val="000000" w:themeColor="text1"/>
        </w:rPr>
      </w:pPr>
      <w:r w:rsidRPr="00484EFA">
        <w:rPr>
          <w:b/>
          <w:bCs/>
          <w:color w:val="000000" w:themeColor="text1"/>
        </w:rPr>
        <w:t>Supplementary</w:t>
      </w:r>
      <w:r w:rsidRPr="00484EFA">
        <w:rPr>
          <w:rFonts w:eastAsiaTheme="minorEastAsia"/>
          <w:b/>
          <w:bCs/>
          <w:color w:val="000000" w:themeColor="text1"/>
          <w:lang w:eastAsia="zh-CN"/>
        </w:rPr>
        <w:t xml:space="preserve"> </w:t>
      </w:r>
      <w:r w:rsidRPr="00484EFA">
        <w:rPr>
          <w:b/>
          <w:bCs/>
          <w:color w:val="000000" w:themeColor="text1"/>
        </w:rPr>
        <w:t xml:space="preserve">Figure S1: </w:t>
      </w:r>
      <w:r w:rsidRPr="00484EFA">
        <w:rPr>
          <w:color w:val="000000" w:themeColor="text1"/>
        </w:rPr>
        <w:t xml:space="preserve">The ability of the lymphocyte counts, IFN-γ levels and IL-6 levels to predict patient prognoses in </w:t>
      </w:r>
      <w:r w:rsidRPr="00484EFA">
        <w:rPr>
          <w:rFonts w:eastAsia="等线"/>
          <w:color w:val="000000" w:themeColor="text1"/>
        </w:rPr>
        <w:t>iNKT+TACE</w:t>
      </w:r>
      <w:r w:rsidRPr="00484EFA">
        <w:rPr>
          <w:color w:val="000000" w:themeColor="text1"/>
        </w:rPr>
        <w:t xml:space="preserve"> group. A. ROC analysis of the lymphocyte counts, IFN-γ levels and IL-6 levels in </w:t>
      </w:r>
      <w:r w:rsidRPr="00484EFA">
        <w:rPr>
          <w:rFonts w:eastAsia="等线"/>
          <w:color w:val="000000" w:themeColor="text1"/>
        </w:rPr>
        <w:t>the iNKT+TACE</w:t>
      </w:r>
      <w:r w:rsidRPr="00484EFA">
        <w:rPr>
          <w:color w:val="000000" w:themeColor="text1"/>
        </w:rPr>
        <w:t xml:space="preserve"> group. B-D. </w:t>
      </w:r>
      <w:r w:rsidRPr="00484EFA">
        <w:rPr>
          <w:rFonts w:eastAsia="等线"/>
          <w:color w:val="000000" w:themeColor="text1"/>
        </w:rPr>
        <w:t>Effects</w:t>
      </w:r>
      <w:r w:rsidRPr="00484EFA">
        <w:rPr>
          <w:color w:val="000000" w:themeColor="text1"/>
        </w:rPr>
        <w:t xml:space="preserve"> of </w:t>
      </w:r>
      <w:r w:rsidRPr="00484EFA">
        <w:rPr>
          <w:rFonts w:eastAsia="等线"/>
          <w:color w:val="000000" w:themeColor="text1"/>
        </w:rPr>
        <w:t xml:space="preserve">the </w:t>
      </w:r>
      <w:r w:rsidRPr="00484EFA">
        <w:rPr>
          <w:color w:val="000000" w:themeColor="text1"/>
        </w:rPr>
        <w:t xml:space="preserve">lymphocyte </w:t>
      </w:r>
      <w:r w:rsidRPr="00484EFA">
        <w:rPr>
          <w:rFonts w:eastAsia="等线"/>
          <w:color w:val="000000" w:themeColor="text1"/>
        </w:rPr>
        <w:t>counts</w:t>
      </w:r>
      <w:r w:rsidRPr="00484EFA">
        <w:rPr>
          <w:color w:val="000000" w:themeColor="text1"/>
        </w:rPr>
        <w:t xml:space="preserve"> (B), IFN-γ </w:t>
      </w:r>
      <w:r w:rsidRPr="00484EFA">
        <w:rPr>
          <w:rFonts w:eastAsia="等线"/>
          <w:color w:val="000000" w:themeColor="text1"/>
        </w:rPr>
        <w:t xml:space="preserve">levels </w:t>
      </w:r>
      <w:r w:rsidRPr="00484EFA">
        <w:rPr>
          <w:color w:val="000000" w:themeColor="text1"/>
        </w:rPr>
        <w:t xml:space="preserve">(C) and IL-6 </w:t>
      </w:r>
      <w:r w:rsidRPr="00484EFA">
        <w:rPr>
          <w:rFonts w:eastAsia="等线"/>
          <w:color w:val="000000" w:themeColor="text1"/>
        </w:rPr>
        <w:t xml:space="preserve">levels </w:t>
      </w:r>
      <w:r w:rsidRPr="00484EFA">
        <w:rPr>
          <w:color w:val="000000" w:themeColor="text1"/>
        </w:rPr>
        <w:t xml:space="preserve">(D) on PFS in </w:t>
      </w:r>
      <w:r w:rsidRPr="00484EFA">
        <w:rPr>
          <w:rFonts w:eastAsia="等线"/>
          <w:color w:val="000000" w:themeColor="text1"/>
        </w:rPr>
        <w:t xml:space="preserve">the </w:t>
      </w:r>
      <w:r w:rsidRPr="00484EFA">
        <w:rPr>
          <w:color w:val="000000" w:themeColor="text1"/>
        </w:rPr>
        <w:t>iNKT + TACE group.</w:t>
      </w:r>
    </w:p>
    <w:p w14:paraId="4E9CA204" w14:textId="77777777" w:rsidR="004F7B35" w:rsidRPr="00484EFA" w:rsidRDefault="00AA02A9">
      <w:pPr>
        <w:ind w:firstLine="0"/>
        <w:rPr>
          <w:color w:val="000000" w:themeColor="text1"/>
          <w:sz w:val="21"/>
        </w:rPr>
      </w:pPr>
      <w:r w:rsidRPr="00484EFA">
        <w:rPr>
          <w:noProof/>
          <w:color w:val="000000" w:themeColor="text1"/>
        </w:rPr>
        <w:lastRenderedPageBreak/>
        <w:drawing>
          <wp:inline distT="0" distB="0" distL="114300" distR="114300" wp14:anchorId="26141DA0" wp14:editId="6CC1594A">
            <wp:extent cx="5761355" cy="3871595"/>
            <wp:effectExtent l="0" t="0" r="1270" b="5080"/>
            <wp:docPr id="3" name="图片 3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 s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87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045F3" w14:textId="77777777" w:rsidR="004F7B35" w:rsidRPr="00484EFA" w:rsidRDefault="00AA02A9">
      <w:pPr>
        <w:pStyle w:val="TSP51figurecaption"/>
        <w:rPr>
          <w:rFonts w:eastAsiaTheme="minorEastAsia"/>
          <w:color w:val="000000" w:themeColor="text1"/>
          <w:lang w:eastAsia="zh-CN"/>
        </w:rPr>
      </w:pPr>
      <w:bookmarkStart w:id="0" w:name="OLE_LINK26"/>
      <w:r w:rsidRPr="00484EFA">
        <w:rPr>
          <w:b/>
          <w:bCs/>
          <w:color w:val="000000" w:themeColor="text1"/>
        </w:rPr>
        <w:t>Supplementary</w:t>
      </w:r>
      <w:r w:rsidRPr="00484EFA">
        <w:rPr>
          <w:rFonts w:eastAsiaTheme="minorEastAsia"/>
          <w:b/>
          <w:bCs/>
          <w:color w:val="000000" w:themeColor="text1"/>
          <w:lang w:eastAsia="zh-CN"/>
        </w:rPr>
        <w:t xml:space="preserve"> </w:t>
      </w:r>
      <w:r w:rsidRPr="00484EFA">
        <w:rPr>
          <w:b/>
          <w:bCs/>
          <w:color w:val="000000" w:themeColor="text1"/>
        </w:rPr>
        <w:t xml:space="preserve">Figure S2: </w:t>
      </w:r>
      <w:r w:rsidRPr="00484EFA">
        <w:rPr>
          <w:color w:val="000000" w:themeColor="text1"/>
        </w:rPr>
        <w:t xml:space="preserve">The ability of </w:t>
      </w:r>
      <w:bookmarkStart w:id="1" w:name="_Hlk201431367"/>
      <w:r w:rsidRPr="00484EFA">
        <w:rPr>
          <w:color w:val="000000" w:themeColor="text1"/>
        </w:rPr>
        <w:t>the lymphocyte counts, IFN-γ levels and IL-6 levels</w:t>
      </w:r>
      <w:bookmarkEnd w:id="1"/>
      <w:r w:rsidRPr="00484EFA">
        <w:rPr>
          <w:color w:val="000000" w:themeColor="text1"/>
        </w:rPr>
        <w:t xml:space="preserve"> to predict patient prognoses in </w:t>
      </w:r>
      <w:r w:rsidRPr="00484EFA">
        <w:rPr>
          <w:rFonts w:eastAsia="等线"/>
          <w:color w:val="000000" w:themeColor="text1"/>
        </w:rPr>
        <w:t>TACE</w:t>
      </w:r>
      <w:r w:rsidRPr="00484EFA">
        <w:rPr>
          <w:color w:val="000000" w:themeColor="text1"/>
        </w:rPr>
        <w:t xml:space="preserve"> group. A.</w:t>
      </w:r>
      <w:r w:rsidRPr="00484EFA">
        <w:rPr>
          <w:b/>
          <w:bCs/>
          <w:color w:val="000000" w:themeColor="text1"/>
        </w:rPr>
        <w:t xml:space="preserve"> </w:t>
      </w:r>
      <w:r w:rsidRPr="00484EFA">
        <w:rPr>
          <w:color w:val="000000" w:themeColor="text1"/>
        </w:rPr>
        <w:t xml:space="preserve">ROC analysis of </w:t>
      </w:r>
      <w:r w:rsidRPr="00484EFA">
        <w:rPr>
          <w:color w:val="000000" w:themeColor="text1"/>
        </w:rPr>
        <w:t xml:space="preserve">the lymphocyte counts, IFN-γ levels and IL-6 levels in </w:t>
      </w:r>
      <w:r w:rsidRPr="00484EFA">
        <w:rPr>
          <w:rFonts w:eastAsia="等线"/>
          <w:color w:val="000000" w:themeColor="text1"/>
        </w:rPr>
        <w:t xml:space="preserve">the </w:t>
      </w:r>
      <w:r w:rsidRPr="00484EFA">
        <w:rPr>
          <w:color w:val="000000" w:themeColor="text1"/>
        </w:rPr>
        <w:t xml:space="preserve">TACE group. B-D. </w:t>
      </w:r>
      <w:r w:rsidRPr="00484EFA">
        <w:rPr>
          <w:rFonts w:eastAsia="等线"/>
          <w:color w:val="000000" w:themeColor="text1"/>
        </w:rPr>
        <w:t>Effects</w:t>
      </w:r>
      <w:r w:rsidRPr="00484EFA">
        <w:rPr>
          <w:color w:val="000000" w:themeColor="text1"/>
        </w:rPr>
        <w:t xml:space="preserve"> of </w:t>
      </w:r>
      <w:r w:rsidRPr="00484EFA">
        <w:rPr>
          <w:rFonts w:eastAsia="等线"/>
          <w:color w:val="000000" w:themeColor="text1"/>
        </w:rPr>
        <w:t xml:space="preserve">the </w:t>
      </w:r>
      <w:r w:rsidRPr="00484EFA">
        <w:rPr>
          <w:color w:val="000000" w:themeColor="text1"/>
        </w:rPr>
        <w:t xml:space="preserve">lymphocyte </w:t>
      </w:r>
      <w:r w:rsidRPr="00484EFA">
        <w:rPr>
          <w:rFonts w:eastAsia="等线"/>
          <w:color w:val="000000" w:themeColor="text1"/>
        </w:rPr>
        <w:t xml:space="preserve">counts </w:t>
      </w:r>
      <w:r w:rsidRPr="00484EFA">
        <w:rPr>
          <w:color w:val="000000" w:themeColor="text1"/>
        </w:rPr>
        <w:t xml:space="preserve">(B), IFN-γ </w:t>
      </w:r>
      <w:r w:rsidRPr="00484EFA">
        <w:rPr>
          <w:rFonts w:eastAsia="等线"/>
          <w:color w:val="000000" w:themeColor="text1"/>
        </w:rPr>
        <w:t xml:space="preserve">levels </w:t>
      </w:r>
      <w:r w:rsidRPr="00484EFA">
        <w:rPr>
          <w:color w:val="000000" w:themeColor="text1"/>
        </w:rPr>
        <w:t xml:space="preserve">(C) and IL-6 </w:t>
      </w:r>
      <w:r w:rsidRPr="00484EFA">
        <w:rPr>
          <w:rFonts w:eastAsia="等线"/>
          <w:color w:val="000000" w:themeColor="text1"/>
        </w:rPr>
        <w:t xml:space="preserve">levels </w:t>
      </w:r>
      <w:r w:rsidRPr="00484EFA">
        <w:rPr>
          <w:color w:val="000000" w:themeColor="text1"/>
        </w:rPr>
        <w:t xml:space="preserve">(D) on PFS in </w:t>
      </w:r>
      <w:r w:rsidRPr="00484EFA">
        <w:rPr>
          <w:rFonts w:eastAsia="等线"/>
          <w:color w:val="000000" w:themeColor="text1"/>
        </w:rPr>
        <w:t xml:space="preserve">the </w:t>
      </w:r>
      <w:r w:rsidRPr="00484EFA">
        <w:rPr>
          <w:color w:val="000000" w:themeColor="text1"/>
        </w:rPr>
        <w:t>TACE group</w:t>
      </w:r>
      <w:bookmarkEnd w:id="0"/>
      <w:r w:rsidRPr="00484EFA">
        <w:rPr>
          <w:color w:val="000000" w:themeColor="text1"/>
        </w:rPr>
        <w:t>.</w:t>
      </w:r>
    </w:p>
    <w:p w14:paraId="27886B99" w14:textId="77777777" w:rsidR="004F7B35" w:rsidRPr="00484EFA" w:rsidRDefault="00AA02A9">
      <w:pPr>
        <w:pStyle w:val="TSP41tablecaption"/>
        <w:jc w:val="center"/>
        <w:rPr>
          <w:color w:val="000000" w:themeColor="text1"/>
        </w:rPr>
      </w:pPr>
      <w:r w:rsidRPr="00484EFA">
        <w:rPr>
          <w:b/>
          <w:bCs/>
          <w:color w:val="000000" w:themeColor="text1"/>
        </w:rPr>
        <w:t>Supplementary</w:t>
      </w:r>
      <w:r w:rsidRPr="00484EFA">
        <w:rPr>
          <w:rFonts w:eastAsiaTheme="minorEastAsia"/>
          <w:b/>
          <w:bCs/>
          <w:color w:val="000000" w:themeColor="text1"/>
          <w:lang w:eastAsia="zh-CN"/>
        </w:rPr>
        <w:t xml:space="preserve"> </w:t>
      </w:r>
      <w:r w:rsidRPr="00484EFA">
        <w:rPr>
          <w:b/>
          <w:bCs/>
          <w:color w:val="000000" w:themeColor="text1"/>
        </w:rPr>
        <w:t xml:space="preserve">Table S1: </w:t>
      </w:r>
      <w:r w:rsidRPr="00484EFA">
        <w:rPr>
          <w:color w:val="000000" w:themeColor="text1"/>
        </w:rPr>
        <w:t>Univariate cox regression analysis.</w:t>
      </w:r>
    </w:p>
    <w:tbl>
      <w:tblPr>
        <w:tblW w:w="936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6"/>
        <w:gridCol w:w="3967"/>
        <w:gridCol w:w="1337"/>
      </w:tblGrid>
      <w:tr w:rsidR="004F7B35" w:rsidRPr="00484EFA" w14:paraId="0B7E5205" w14:textId="77777777">
        <w:trPr>
          <w:jc w:val="center"/>
        </w:trPr>
        <w:tc>
          <w:tcPr>
            <w:tcW w:w="4056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7948AC6" w14:textId="77777777" w:rsidR="004F7B35" w:rsidRPr="00484EFA" w:rsidRDefault="004F7B35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b/>
                <w:color w:val="000000" w:themeColor="text1"/>
                <w:sz w:val="20"/>
                <w:szCs w:val="21"/>
              </w:rPr>
            </w:pPr>
          </w:p>
        </w:tc>
        <w:tc>
          <w:tcPr>
            <w:tcW w:w="5304" w:type="dxa"/>
            <w:gridSpan w:val="2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89C9EA0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b/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color w:val="000000" w:themeColor="text1"/>
                <w:sz w:val="20"/>
                <w:szCs w:val="21"/>
              </w:rPr>
              <w:t>Univariate cox regression</w:t>
            </w:r>
          </w:p>
        </w:tc>
      </w:tr>
      <w:tr w:rsidR="004F7B35" w:rsidRPr="00484EFA" w14:paraId="7DC20FCB" w14:textId="77777777">
        <w:trPr>
          <w:jc w:val="center"/>
        </w:trPr>
        <w:tc>
          <w:tcPr>
            <w:tcW w:w="4056" w:type="dxa"/>
            <w:vMerge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81D40E4" w14:textId="77777777" w:rsidR="004F7B35" w:rsidRPr="00484EFA" w:rsidRDefault="004F7B35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b/>
                <w:color w:val="000000" w:themeColor="text1"/>
                <w:sz w:val="20"/>
                <w:szCs w:val="21"/>
              </w:rPr>
            </w:pPr>
          </w:p>
        </w:tc>
        <w:tc>
          <w:tcPr>
            <w:tcW w:w="3967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54F31B5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b/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color w:val="000000" w:themeColor="text1"/>
                <w:sz w:val="20"/>
                <w:szCs w:val="21"/>
              </w:rPr>
              <w:t>HR (95%CI)</w:t>
            </w:r>
          </w:p>
        </w:tc>
        <w:tc>
          <w:tcPr>
            <w:tcW w:w="1337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A32E684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b/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i/>
                <w:iCs/>
                <w:color w:val="000000" w:themeColor="text1"/>
                <w:sz w:val="20"/>
                <w:szCs w:val="21"/>
              </w:rPr>
              <w:t>p</w:t>
            </w:r>
            <w:r w:rsidRPr="00484EFA">
              <w:rPr>
                <w:b/>
                <w:color w:val="000000" w:themeColor="text1"/>
                <w:sz w:val="20"/>
                <w:szCs w:val="21"/>
              </w:rPr>
              <w:t>-value</w:t>
            </w:r>
          </w:p>
        </w:tc>
      </w:tr>
      <w:tr w:rsidR="004F7B35" w:rsidRPr="00484EFA" w14:paraId="33F72FC2" w14:textId="77777777">
        <w:trPr>
          <w:jc w:val="center"/>
        </w:trPr>
        <w:tc>
          <w:tcPr>
            <w:tcW w:w="4056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8E4E7A5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NLR</w:t>
            </w:r>
          </w:p>
        </w:tc>
        <w:tc>
          <w:tcPr>
            <w:tcW w:w="3967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0975306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2.5 (0.59, 10.65)</w:t>
            </w:r>
          </w:p>
        </w:tc>
        <w:tc>
          <w:tcPr>
            <w:tcW w:w="1337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858DBDA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0.21</w:t>
            </w:r>
          </w:p>
        </w:tc>
      </w:tr>
      <w:tr w:rsidR="004F7B35" w:rsidRPr="00484EFA" w14:paraId="68328F92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CEFFF18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LMR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E19F87D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0.62 (0.24, 1.61)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55E92CD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0.32</w:t>
            </w:r>
          </w:p>
        </w:tc>
      </w:tr>
      <w:tr w:rsidR="004F7B35" w:rsidRPr="00484EFA" w14:paraId="59BDF73A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76BAD0B7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 xml:space="preserve">SII 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77E60645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1.54 (0.77, 3.07)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E8B86C4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0.23</w:t>
            </w:r>
          </w:p>
        </w:tc>
      </w:tr>
      <w:tr w:rsidR="004F7B35" w:rsidRPr="00484EFA" w14:paraId="52E91361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7C246BB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SIRI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3206BE5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1.47 (0.73, 2.98)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DD8029D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0.28</w:t>
            </w:r>
          </w:p>
        </w:tc>
      </w:tr>
      <w:tr w:rsidR="004F7B35" w:rsidRPr="00484EFA" w14:paraId="4F9F3EAC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29961FB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Lymphocyte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150A9AE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0.42 (0.19, 0.92)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E8A6DB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0.03</w:t>
            </w:r>
          </w:p>
        </w:tc>
      </w:tr>
      <w:tr w:rsidR="004F7B35" w:rsidRPr="00484EFA" w14:paraId="383437B8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B3433D0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Neutrophil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CB4788D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1.98 (0.86, 4.58)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2815F5E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0.11</w:t>
            </w:r>
          </w:p>
        </w:tc>
      </w:tr>
      <w:tr w:rsidR="004F7B35" w:rsidRPr="00484EFA" w14:paraId="770181CE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64A6BE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Monocyte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019860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1.78 (0.89, 3.55)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E36CA73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0.1</w:t>
            </w:r>
          </w:p>
        </w:tc>
      </w:tr>
      <w:tr w:rsidR="004F7B35" w:rsidRPr="00484EFA" w14:paraId="5466C6A7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FDDA87C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Platelet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5955F35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0.46 (0.21, 1.02)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E725D0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0.056</w:t>
            </w:r>
          </w:p>
        </w:tc>
      </w:tr>
      <w:tr w:rsidR="004F7B35" w:rsidRPr="00484EFA" w14:paraId="2255E3C2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5DFE5F7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IL-2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7985DA6B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0.25(0.079, 0.76)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F1922B9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0.015</w:t>
            </w:r>
          </w:p>
        </w:tc>
      </w:tr>
      <w:tr w:rsidR="004F7B35" w:rsidRPr="00484EFA" w14:paraId="4C7257BD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40F4711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IL-4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9263CDA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1.15(0.45, 2.94)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7AF963B0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0.77</w:t>
            </w:r>
          </w:p>
        </w:tc>
      </w:tr>
      <w:tr w:rsidR="004F7B35" w:rsidRPr="00484EFA" w14:paraId="198FFA52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99CD0CA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IL-6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7002BB2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2.89 (1.18, 7.07)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3D1FAD1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0.02</w:t>
            </w:r>
          </w:p>
        </w:tc>
      </w:tr>
      <w:tr w:rsidR="004F7B35" w:rsidRPr="00484EFA" w14:paraId="3795A4BE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382DFD3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IL-10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ED178CC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2.83 (0.65,12.36)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513E71B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0.17</w:t>
            </w:r>
          </w:p>
        </w:tc>
      </w:tr>
      <w:tr w:rsidR="004F7B35" w:rsidRPr="00484EFA" w14:paraId="142988FF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2DDCDC4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bookmarkStart w:id="2" w:name="_Hlk234393261"/>
            <w:r w:rsidRPr="00484EFA">
              <w:rPr>
                <w:color w:val="000000" w:themeColor="text1"/>
                <w:sz w:val="20"/>
                <w:szCs w:val="21"/>
              </w:rPr>
              <w:t>TNF-α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22B8949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0.47(0.21, 1.1)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B3E6806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0.06</w:t>
            </w:r>
          </w:p>
        </w:tc>
      </w:tr>
      <w:bookmarkEnd w:id="2"/>
      <w:tr w:rsidR="004F7B35" w:rsidRPr="00484EFA" w14:paraId="1D414D95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87957CF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IFN-γ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22A6A6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0.27 (0.09, 0.88)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03FDE56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0.03</w:t>
            </w:r>
          </w:p>
        </w:tc>
      </w:tr>
      <w:tr w:rsidR="004F7B35" w:rsidRPr="00484EFA" w14:paraId="3CE94110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D4A0A6B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IL17A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C7E9B0A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0.37 (0.13, 1.02)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00EA553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0.054</w:t>
            </w:r>
          </w:p>
        </w:tc>
      </w:tr>
      <w:tr w:rsidR="004F7B35" w:rsidRPr="00484EFA" w14:paraId="791DCEF3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B71C978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bookmarkStart w:id="3" w:name="OLE_LINK144"/>
            <w:r w:rsidRPr="00484EFA">
              <w:rPr>
                <w:color w:val="000000" w:themeColor="text1"/>
                <w:sz w:val="20"/>
                <w:szCs w:val="21"/>
              </w:rPr>
              <w:t>MVI</w:t>
            </w:r>
            <w:bookmarkEnd w:id="3"/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74AE573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1.62(0.86,4.76)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F5132FC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0.31</w:t>
            </w:r>
          </w:p>
        </w:tc>
      </w:tr>
      <w:tr w:rsidR="004F7B35" w:rsidRPr="00484EFA" w14:paraId="6E784DAE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7994594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lastRenderedPageBreak/>
              <w:t>BCLC C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E0EF7A3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8.9 (1.1,72)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F3EFCE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0.04</w:t>
            </w:r>
          </w:p>
        </w:tc>
      </w:tr>
      <w:tr w:rsidR="004F7B35" w:rsidRPr="00484EFA" w14:paraId="20271B6C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848F56A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BCLC B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1FB97E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3.5 (0.47, 26.3)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BFE91AA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0.22</w:t>
            </w:r>
          </w:p>
        </w:tc>
      </w:tr>
      <w:tr w:rsidR="004F7B35" w:rsidRPr="00484EFA" w14:paraId="1142D8EA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753D108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Age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586EEBC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0.53 (0.23, 1.21)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481591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0.13</w:t>
            </w:r>
          </w:p>
        </w:tc>
      </w:tr>
      <w:tr w:rsidR="004F7B35" w:rsidRPr="00484EFA" w14:paraId="283D4532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C884686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Sex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23066164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1.25 (0.38,4.1)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6D30395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0.72</w:t>
            </w:r>
          </w:p>
        </w:tc>
      </w:tr>
      <w:tr w:rsidR="004F7B35" w:rsidRPr="00484EFA" w14:paraId="0FFBEB47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1944F60" w14:textId="32064F05" w:rsidR="004F7B35" w:rsidRPr="00484EFA" w:rsidRDefault="00D0363E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Child-Pugh</w:t>
            </w:r>
          </w:p>
        </w:tc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1B60944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1.48(0.29,7.4)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7F8E450C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0.63</w:t>
            </w:r>
          </w:p>
        </w:tc>
      </w:tr>
      <w:tr w:rsidR="004F7B35" w:rsidRPr="00484EFA" w14:paraId="40ABB631" w14:textId="77777777">
        <w:trPr>
          <w:jc w:val="center"/>
        </w:trPr>
        <w:tc>
          <w:tcPr>
            <w:tcW w:w="4056" w:type="dxa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E7DB778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iNKT treatment Yes vs No</w:t>
            </w:r>
          </w:p>
        </w:tc>
        <w:tc>
          <w:tcPr>
            <w:tcW w:w="3967" w:type="dxa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7F444AB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0.35 (0.17, 0.74)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0FB384E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bCs/>
                <w:color w:val="000000" w:themeColor="text1"/>
                <w:sz w:val="20"/>
                <w:szCs w:val="21"/>
              </w:rPr>
              <w:t>&lt;0.01</w:t>
            </w:r>
          </w:p>
        </w:tc>
      </w:tr>
    </w:tbl>
    <w:p w14:paraId="167955F0" w14:textId="4553B967" w:rsidR="004F7B35" w:rsidRPr="00484EFA" w:rsidRDefault="00AA02A9">
      <w:pPr>
        <w:pStyle w:val="TSP43tablefooter"/>
        <w:rPr>
          <w:rFonts w:eastAsia="宋体"/>
          <w:color w:val="000000" w:themeColor="text1"/>
          <w:lang w:eastAsia="zh-CN"/>
        </w:rPr>
      </w:pPr>
      <w:r w:rsidRPr="00484EFA">
        <w:rPr>
          <w:color w:val="000000" w:themeColor="text1"/>
        </w:rPr>
        <w:t>Note: NLR: neutrophil-to-lymphocyte ratio; LMR: lymphocyte-to-monocyte ratio;</w:t>
      </w:r>
      <w:r w:rsidRPr="00484EFA">
        <w:rPr>
          <w:rFonts w:eastAsia="宋体"/>
          <w:color w:val="000000" w:themeColor="text1"/>
          <w:lang w:eastAsia="zh-CN"/>
        </w:rPr>
        <w:t xml:space="preserve"> </w:t>
      </w:r>
      <w:r w:rsidRPr="00484EFA">
        <w:rPr>
          <w:color w:val="000000" w:themeColor="text1"/>
        </w:rPr>
        <w:t>SII: systemic immune</w:t>
      </w:r>
      <w:r w:rsidR="009E20D1" w:rsidRPr="00484EFA">
        <w:rPr>
          <w:rFonts w:eastAsiaTheme="minorEastAsia"/>
          <w:color w:val="000000" w:themeColor="text1"/>
          <w:lang w:eastAsia="zh-CN"/>
        </w:rPr>
        <w:t>-</w:t>
      </w:r>
      <w:r w:rsidRPr="00484EFA">
        <w:rPr>
          <w:color w:val="000000" w:themeColor="text1"/>
        </w:rPr>
        <w:t>inflammation index; SIRI: systemic inflammation response index</w:t>
      </w:r>
      <w:r w:rsidRPr="00484EFA">
        <w:rPr>
          <w:rFonts w:eastAsia="宋体"/>
          <w:color w:val="000000" w:themeColor="text1"/>
          <w:lang w:eastAsia="zh-CN"/>
        </w:rPr>
        <w:t>; IL-2:</w:t>
      </w:r>
      <w:r w:rsidR="00B83E32" w:rsidRPr="00484EFA">
        <w:rPr>
          <w:rFonts w:eastAsia="宋体"/>
          <w:color w:val="000000" w:themeColor="text1"/>
          <w:lang w:eastAsia="zh-CN"/>
        </w:rPr>
        <w:t xml:space="preserve"> </w:t>
      </w:r>
      <w:r w:rsidRPr="00484EFA">
        <w:rPr>
          <w:rFonts w:eastAsia="宋体"/>
          <w:color w:val="000000" w:themeColor="text1"/>
          <w:lang w:eastAsia="zh-CN"/>
        </w:rPr>
        <w:t>Interleukin-2; IL-4: Interleukin-4; IL-6: Interleukin-6; IL-10: Interleukin-10; TNF-</w:t>
      </w:r>
      <w:r w:rsidRPr="00484EFA">
        <w:rPr>
          <w:color w:val="000000" w:themeColor="text1"/>
          <w:szCs w:val="21"/>
        </w:rPr>
        <w:t>α</w:t>
      </w:r>
      <w:r w:rsidRPr="00484EFA">
        <w:rPr>
          <w:rFonts w:eastAsia="宋体"/>
          <w:color w:val="000000" w:themeColor="text1"/>
          <w:lang w:eastAsia="zh-CN"/>
        </w:rPr>
        <w:t>: Tumor Necrosis Factor-alpha; IFN-</w:t>
      </w:r>
      <w:r w:rsidRPr="00484EFA">
        <w:rPr>
          <w:color w:val="000000" w:themeColor="text1"/>
          <w:szCs w:val="21"/>
        </w:rPr>
        <w:t>γ</w:t>
      </w:r>
      <w:r w:rsidRPr="00484EFA">
        <w:rPr>
          <w:rFonts w:eastAsia="宋体"/>
          <w:color w:val="000000" w:themeColor="text1"/>
          <w:lang w:eastAsia="zh-CN"/>
        </w:rPr>
        <w:t xml:space="preserve">: Interferon-gamma; IL-17A: Interleukin-17A. MVI: microvascular invasion; </w:t>
      </w:r>
      <w:r w:rsidRPr="00484EFA">
        <w:rPr>
          <w:color w:val="000000" w:themeColor="text1"/>
        </w:rPr>
        <w:t xml:space="preserve">BCLC: </w:t>
      </w:r>
      <w:r w:rsidR="00B83E32" w:rsidRPr="00484EFA">
        <w:rPr>
          <w:color w:val="000000" w:themeColor="text1"/>
        </w:rPr>
        <w:t>Barcelona Clinic Liver Cancer</w:t>
      </w:r>
      <w:r w:rsidRPr="00484EFA">
        <w:rPr>
          <w:rFonts w:eastAsia="宋体"/>
          <w:color w:val="000000" w:themeColor="text1"/>
          <w:lang w:eastAsia="zh-CN"/>
        </w:rPr>
        <w:t>.</w:t>
      </w:r>
    </w:p>
    <w:p w14:paraId="5B0EB3AB" w14:textId="77777777" w:rsidR="004F7B35" w:rsidRPr="00484EFA" w:rsidRDefault="00AA02A9">
      <w:pPr>
        <w:jc w:val="center"/>
        <w:rPr>
          <w:rFonts w:eastAsiaTheme="minorEastAsia"/>
          <w:b/>
          <w:bCs/>
          <w:color w:val="000000" w:themeColor="text1"/>
          <w:sz w:val="21"/>
          <w:szCs w:val="21"/>
        </w:rPr>
      </w:pPr>
      <w:r w:rsidRPr="00484EFA">
        <w:rPr>
          <w:b/>
          <w:bCs/>
          <w:color w:val="000000" w:themeColor="text1"/>
        </w:rPr>
        <w:t>Supplementary</w:t>
      </w:r>
      <w:r w:rsidRPr="00484EFA">
        <w:rPr>
          <w:rFonts w:eastAsiaTheme="minorEastAsia"/>
          <w:b/>
          <w:bCs/>
          <w:color w:val="000000" w:themeColor="text1"/>
        </w:rPr>
        <w:t xml:space="preserve"> </w:t>
      </w:r>
      <w:r w:rsidRPr="00484EFA">
        <w:rPr>
          <w:b/>
          <w:bCs/>
          <w:color w:val="000000" w:themeColor="text1"/>
          <w:sz w:val="21"/>
          <w:szCs w:val="21"/>
        </w:rPr>
        <w:t xml:space="preserve">Table S2: C-index of individual indicators and the Riskscore </w:t>
      </w:r>
    </w:p>
    <w:tbl>
      <w:tblPr>
        <w:tblW w:w="9360" w:type="dxa"/>
        <w:jc w:val="center"/>
        <w:tblBorders>
          <w:top w:val="none" w:sz="4" w:space="0" w:color="auto"/>
          <w:left w:val="none" w:sz="4" w:space="0" w:color="auto"/>
          <w:bottom w:val="single" w:sz="4" w:space="0" w:color="auto"/>
          <w:right w:val="none" w:sz="4" w:space="0" w:color="auto"/>
          <w:insideH w:val="none" w:sz="4" w:space="0" w:color="auto"/>
          <w:insideV w:val="non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62"/>
        <w:gridCol w:w="3319"/>
        <w:gridCol w:w="2279"/>
      </w:tblGrid>
      <w:tr w:rsidR="004F7B35" w:rsidRPr="00484EFA" w14:paraId="3F4DCB6E" w14:textId="77777777">
        <w:trPr>
          <w:jc w:val="center"/>
        </w:trPr>
        <w:tc>
          <w:tcPr>
            <w:tcW w:w="2410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E0F841B" w14:textId="77777777" w:rsidR="004F7B35" w:rsidRPr="00484EFA" w:rsidRDefault="004F7B35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b/>
                <w:color w:val="000000" w:themeColor="text1"/>
                <w:sz w:val="20"/>
                <w:szCs w:val="21"/>
              </w:rPr>
            </w:pPr>
          </w:p>
        </w:tc>
        <w:tc>
          <w:tcPr>
            <w:tcW w:w="3586" w:type="dxa"/>
            <w:gridSpan w:val="2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44BE99C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b/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color w:val="000000" w:themeColor="text1"/>
                <w:sz w:val="20"/>
                <w:szCs w:val="21"/>
              </w:rPr>
              <w:t>C-index</w:t>
            </w:r>
          </w:p>
        </w:tc>
      </w:tr>
      <w:tr w:rsidR="004F7B35" w:rsidRPr="00484EFA" w14:paraId="2D5406C2" w14:textId="77777777">
        <w:trPr>
          <w:jc w:val="center"/>
        </w:trPr>
        <w:tc>
          <w:tcPr>
            <w:tcW w:w="2410" w:type="dxa"/>
            <w:vMerge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68218EC" w14:textId="77777777" w:rsidR="004F7B35" w:rsidRPr="00484EFA" w:rsidRDefault="004F7B35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b/>
                <w:color w:val="000000" w:themeColor="text1"/>
                <w:sz w:val="20"/>
                <w:szCs w:val="21"/>
              </w:rPr>
            </w:pPr>
          </w:p>
        </w:tc>
        <w:tc>
          <w:tcPr>
            <w:tcW w:w="2126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802E708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b/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color w:val="000000" w:themeColor="text1"/>
                <w:sz w:val="20"/>
                <w:szCs w:val="21"/>
              </w:rPr>
              <w:t>iNKT+TACE group</w:t>
            </w:r>
          </w:p>
        </w:tc>
        <w:tc>
          <w:tcPr>
            <w:tcW w:w="1460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5265FAD1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b/>
                <w:color w:val="000000" w:themeColor="text1"/>
                <w:sz w:val="20"/>
                <w:szCs w:val="21"/>
              </w:rPr>
            </w:pPr>
            <w:r w:rsidRPr="00484EFA">
              <w:rPr>
                <w:b/>
                <w:color w:val="000000" w:themeColor="text1"/>
                <w:sz w:val="20"/>
                <w:szCs w:val="21"/>
              </w:rPr>
              <w:t>TACE group</w:t>
            </w:r>
          </w:p>
        </w:tc>
      </w:tr>
      <w:tr w:rsidR="004F7B35" w:rsidRPr="00484EFA" w14:paraId="02E54BFF" w14:textId="77777777">
        <w:trPr>
          <w:jc w:val="center"/>
        </w:trPr>
        <w:tc>
          <w:tcPr>
            <w:tcW w:w="2410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B940A5C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Lymphocyte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95E22A5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0.52</w:t>
            </w:r>
          </w:p>
        </w:tc>
        <w:tc>
          <w:tcPr>
            <w:tcW w:w="1460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B63E8C3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0.53</w:t>
            </w:r>
          </w:p>
        </w:tc>
      </w:tr>
      <w:tr w:rsidR="004F7B35" w:rsidRPr="00484EFA" w14:paraId="321CECBA" w14:textId="77777777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31A1303B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IL-6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FC422ED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0.63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727CA042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0.52</w:t>
            </w:r>
          </w:p>
        </w:tc>
      </w:tr>
      <w:tr w:rsidR="004F7B35" w:rsidRPr="00484EFA" w14:paraId="0F64882A" w14:textId="77777777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AB27304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IFN-γ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4AF312F4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0.62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6A2B04D0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0.56</w:t>
            </w:r>
          </w:p>
        </w:tc>
      </w:tr>
      <w:tr w:rsidR="004F7B35" w:rsidRPr="00484EFA" w14:paraId="4059987B" w14:textId="77777777">
        <w:trPr>
          <w:jc w:val="center"/>
        </w:trPr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1EC87C9D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Riskscore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C616636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0.69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top w:w="6" w:type="dxa"/>
              <w:left w:w="42" w:type="dxa"/>
              <w:bottom w:w="0" w:type="dxa"/>
              <w:right w:w="42" w:type="dxa"/>
            </w:tcMar>
            <w:vAlign w:val="center"/>
          </w:tcPr>
          <w:p w14:paraId="0F9ACA8F" w14:textId="77777777" w:rsidR="004F7B35" w:rsidRPr="00484EFA" w:rsidRDefault="00AA02A9">
            <w:pPr>
              <w:autoSpaceDE w:val="0"/>
              <w:autoSpaceDN w:val="0"/>
              <w:spacing w:after="0" w:line="240" w:lineRule="auto"/>
              <w:ind w:firstLine="0"/>
              <w:jc w:val="left"/>
              <w:rPr>
                <w:rFonts w:eastAsiaTheme="minorEastAsia"/>
                <w:color w:val="000000" w:themeColor="text1"/>
                <w:sz w:val="20"/>
                <w:szCs w:val="21"/>
              </w:rPr>
            </w:pPr>
            <w:r w:rsidRPr="00484EFA">
              <w:rPr>
                <w:color w:val="000000" w:themeColor="text1"/>
                <w:sz w:val="20"/>
                <w:szCs w:val="21"/>
              </w:rPr>
              <w:t>0.6</w:t>
            </w:r>
          </w:p>
        </w:tc>
      </w:tr>
    </w:tbl>
    <w:p w14:paraId="483B79EE" w14:textId="38283007" w:rsidR="004F7B35" w:rsidRPr="00484EFA" w:rsidRDefault="00AA02A9">
      <w:pPr>
        <w:pStyle w:val="TSP43tablefooter"/>
        <w:rPr>
          <w:rFonts w:eastAsia="宋体"/>
          <w:color w:val="000000" w:themeColor="text1"/>
          <w:lang w:eastAsia="zh-CN"/>
        </w:rPr>
      </w:pPr>
      <w:r w:rsidRPr="00484EFA">
        <w:rPr>
          <w:color w:val="000000" w:themeColor="text1"/>
        </w:rPr>
        <w:t xml:space="preserve">Note: </w:t>
      </w:r>
      <w:r w:rsidRPr="00484EFA">
        <w:rPr>
          <w:rFonts w:eastAsia="宋体"/>
          <w:color w:val="000000" w:themeColor="text1"/>
          <w:lang w:eastAsia="zh-CN"/>
        </w:rPr>
        <w:t>IL-6: Interleukin-6; IFN-</w:t>
      </w:r>
      <w:r w:rsidRPr="00484EFA">
        <w:rPr>
          <w:color w:val="000000" w:themeColor="text1"/>
          <w:szCs w:val="21"/>
        </w:rPr>
        <w:t>γ</w:t>
      </w:r>
      <w:r w:rsidRPr="00484EFA">
        <w:rPr>
          <w:rFonts w:eastAsia="宋体"/>
          <w:color w:val="000000" w:themeColor="text1"/>
          <w:lang w:eastAsia="zh-CN"/>
        </w:rPr>
        <w:t>: Interferon-gamma.</w:t>
      </w:r>
    </w:p>
    <w:p w14:paraId="2CC171BC" w14:textId="77777777" w:rsidR="004F7B35" w:rsidRPr="00484EFA" w:rsidRDefault="004F7B35"/>
    <w:sectPr w:rsidR="004F7B35" w:rsidRPr="00484EFA" w:rsidSect="007D741A">
      <w:pgSz w:w="12240" w:h="15840"/>
      <w:pgMar w:top="1440" w:right="1440" w:bottom="1440" w:left="1440" w:header="680" w:footer="794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E88055" w14:textId="77777777" w:rsidR="00AA02A9" w:rsidRDefault="00AA02A9">
      <w:pPr>
        <w:spacing w:line="240" w:lineRule="auto"/>
      </w:pPr>
      <w:r>
        <w:separator/>
      </w:r>
    </w:p>
  </w:endnote>
  <w:endnote w:type="continuationSeparator" w:id="0">
    <w:p w14:paraId="25E3D596" w14:textId="77777777" w:rsidR="00AA02A9" w:rsidRDefault="00AA02A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6A84CE" w14:textId="77777777" w:rsidR="00AA02A9" w:rsidRDefault="00AA02A9">
      <w:pPr>
        <w:spacing w:after="0" w:line="240" w:lineRule="auto"/>
      </w:pPr>
      <w:r>
        <w:separator/>
      </w:r>
    </w:p>
  </w:footnote>
  <w:footnote w:type="continuationSeparator" w:id="0">
    <w:p w14:paraId="3CD8D83F" w14:textId="77777777" w:rsidR="00AA02A9" w:rsidRDefault="00AA02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30C9"/>
    <w:rsid w:val="003142EE"/>
    <w:rsid w:val="00483311"/>
    <w:rsid w:val="00484EFA"/>
    <w:rsid w:val="004B1E19"/>
    <w:rsid w:val="004F7B35"/>
    <w:rsid w:val="00682921"/>
    <w:rsid w:val="006B0B62"/>
    <w:rsid w:val="00767045"/>
    <w:rsid w:val="007C2C2F"/>
    <w:rsid w:val="007D741A"/>
    <w:rsid w:val="007E62F1"/>
    <w:rsid w:val="007F2527"/>
    <w:rsid w:val="009B71A0"/>
    <w:rsid w:val="009E20D1"/>
    <w:rsid w:val="009E75DD"/>
    <w:rsid w:val="00A31110"/>
    <w:rsid w:val="00AA02A9"/>
    <w:rsid w:val="00B13715"/>
    <w:rsid w:val="00B30743"/>
    <w:rsid w:val="00B34C92"/>
    <w:rsid w:val="00B83E32"/>
    <w:rsid w:val="00C23279"/>
    <w:rsid w:val="00C4208C"/>
    <w:rsid w:val="00CC1E3F"/>
    <w:rsid w:val="00D0363E"/>
    <w:rsid w:val="00D074F5"/>
    <w:rsid w:val="00D13C43"/>
    <w:rsid w:val="00DE5F0E"/>
    <w:rsid w:val="00E17923"/>
    <w:rsid w:val="00EC098C"/>
    <w:rsid w:val="00F730C9"/>
    <w:rsid w:val="440A7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8EEEB"/>
  <w14:defaultImageDpi w14:val="32767"/>
  <w15:docId w15:val="{B8047F75-3539-411F-A70C-F169176CF8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宋体" w:hAnsi="Minion Pro" w:cs="Times New Roman"/>
      <w:color w:val="000000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widowControl w:val="0"/>
      <w:adjustRightInd/>
      <w:snapToGrid/>
      <w:spacing w:before="480" w:after="80" w:line="278" w:lineRule="auto"/>
      <w:ind w:firstLine="0"/>
      <w:jc w:val="left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8"/>
      <w:szCs w:val="48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widowControl w:val="0"/>
      <w:adjustRightInd/>
      <w:snapToGrid/>
      <w:spacing w:before="160" w:after="80" w:line="278" w:lineRule="auto"/>
      <w:ind w:firstLine="0"/>
      <w:jc w:val="left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widowControl w:val="0"/>
      <w:adjustRightInd/>
      <w:snapToGrid/>
      <w:spacing w:before="160" w:after="80" w:line="278" w:lineRule="auto"/>
      <w:ind w:firstLine="0"/>
      <w:jc w:val="left"/>
      <w:outlineLvl w:val="2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widowControl w:val="0"/>
      <w:adjustRightInd/>
      <w:snapToGrid/>
      <w:spacing w:before="80" w:after="40" w:line="278" w:lineRule="auto"/>
      <w:ind w:firstLine="0"/>
      <w:jc w:val="left"/>
      <w:outlineLvl w:val="3"/>
    </w:pPr>
    <w:rPr>
      <w:rFonts w:asciiTheme="minorHAnsi" w:eastAsiaTheme="min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widowControl w:val="0"/>
      <w:adjustRightInd/>
      <w:snapToGrid/>
      <w:spacing w:before="80" w:after="40" w:line="278" w:lineRule="auto"/>
      <w:ind w:firstLine="0"/>
      <w:jc w:val="left"/>
      <w:outlineLvl w:val="4"/>
    </w:pPr>
    <w:rPr>
      <w:rFonts w:asciiTheme="minorHAnsi" w:eastAsiaTheme="minorEastAsia" w:hAnsiTheme="minorHAnsi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widowControl w:val="0"/>
      <w:adjustRightInd/>
      <w:snapToGrid/>
      <w:spacing w:before="40" w:after="0" w:line="278" w:lineRule="auto"/>
      <w:ind w:firstLine="0"/>
      <w:jc w:val="left"/>
      <w:outlineLvl w:val="5"/>
    </w:pPr>
    <w:rPr>
      <w:rFonts w:asciiTheme="minorHAnsi" w:eastAsiaTheme="minorEastAsia" w:hAnsiTheme="minorHAnsi" w:cstheme="majorBidi"/>
      <w:b/>
      <w:bCs/>
      <w:color w:val="0F4761" w:themeColor="accent1" w:themeShade="BF"/>
      <w:kern w:val="2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widowControl w:val="0"/>
      <w:adjustRightInd/>
      <w:snapToGrid/>
      <w:spacing w:before="40" w:after="0" w:line="278" w:lineRule="auto"/>
      <w:ind w:firstLine="0"/>
      <w:jc w:val="left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  <w:kern w:val="2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widowControl w:val="0"/>
      <w:adjustRightInd/>
      <w:snapToGrid/>
      <w:spacing w:after="0" w:line="278" w:lineRule="auto"/>
      <w:ind w:firstLine="0"/>
      <w:jc w:val="left"/>
      <w:outlineLvl w:val="7"/>
    </w:pPr>
    <w:rPr>
      <w:rFonts w:asciiTheme="minorHAnsi" w:eastAsiaTheme="minorEastAsia" w:hAnsiTheme="minorHAnsi" w:cstheme="majorBidi"/>
      <w:color w:val="595959" w:themeColor="text1" w:themeTint="A6"/>
      <w:kern w:val="2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widowControl w:val="0"/>
      <w:adjustRightInd/>
      <w:snapToGrid/>
      <w:spacing w:after="0" w:line="278" w:lineRule="auto"/>
      <w:ind w:firstLine="0"/>
      <w:jc w:val="left"/>
      <w:outlineLvl w:val="8"/>
    </w:pPr>
    <w:rPr>
      <w:rFonts w:asciiTheme="minorHAnsi" w:eastAsiaTheme="majorEastAsia" w:hAnsiTheme="minorHAnsi" w:cstheme="majorBidi"/>
      <w:color w:val="595959" w:themeColor="text1" w:themeTint="A6"/>
      <w:kern w:val="2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unhideWhenUsed/>
    <w:pPr>
      <w:jc w:val="left"/>
    </w:p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pPr>
      <w:widowControl w:val="0"/>
      <w:adjustRightInd/>
      <w:snapToGrid/>
      <w:spacing w:after="160" w:line="278" w:lineRule="auto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pPr>
      <w:widowControl w:val="0"/>
      <w:adjustRightInd/>
      <w:snapToGrid/>
      <w:spacing w:after="80" w:line="240" w:lineRule="auto"/>
      <w:ind w:firstLine="0"/>
      <w:contextualSpacing/>
      <w:jc w:val="center"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14:ligatures w14:val="standardContextu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21"/>
      <w:szCs w:val="21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cstheme="majorBidi"/>
      <w:color w:val="0F476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cstheme="majorBidi"/>
      <w:color w:val="0F4761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cstheme="majorBidi"/>
      <w:b/>
      <w:bCs/>
      <w:color w:val="0F4761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widowControl w:val="0"/>
      <w:adjustRightInd/>
      <w:snapToGrid/>
      <w:spacing w:before="160" w:after="160" w:line="278" w:lineRule="auto"/>
      <w:ind w:firstLine="0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kern w:val="2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pPr>
      <w:widowControl w:val="0"/>
      <w:adjustRightInd/>
      <w:snapToGrid/>
      <w:spacing w:after="160" w:line="278" w:lineRule="auto"/>
      <w:ind w:left="720" w:firstLine="0"/>
      <w:contextualSpacing/>
      <w:jc w:val="left"/>
    </w:pPr>
    <w:rPr>
      <w:rFonts w:asciiTheme="minorHAnsi" w:eastAsiaTheme="minorEastAsia" w:hAnsiTheme="minorHAnsi" w:cstheme="minorBidi"/>
      <w:color w:val="auto"/>
      <w:kern w:val="2"/>
      <w:szCs w:val="24"/>
      <w14:ligatures w14:val="standardContextual"/>
    </w:rPr>
  </w:style>
  <w:style w:type="character" w:customStyle="1" w:styleId="IntenseEmphasis1">
    <w:name w:val="Intense Emphasis1"/>
    <w:basedOn w:val="DefaultParagraphFont"/>
    <w:uiPriority w:val="21"/>
    <w:qFormat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widowControl w:val="0"/>
      <w:pBdr>
        <w:top w:val="single" w:sz="4" w:space="10" w:color="0F4761" w:themeColor="accent1" w:themeShade="BF"/>
        <w:bottom w:val="single" w:sz="4" w:space="10" w:color="0F4761" w:themeColor="accent1" w:themeShade="BF"/>
      </w:pBdr>
      <w:adjustRightInd/>
      <w:snapToGrid/>
      <w:spacing w:before="360" w:after="360" w:line="278" w:lineRule="auto"/>
      <w:ind w:left="864" w:right="864" w:firstLine="0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kern w:val="2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character" w:customStyle="1" w:styleId="IntenseReference1">
    <w:name w:val="Intense Reference1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customStyle="1" w:styleId="TSP41tablecaption">
    <w:name w:val="TSP_4.1_table_caption"/>
    <w:qFormat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figurecaption">
    <w:name w:val="TSP_5.1_figure_caption"/>
    <w:qFormat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lang w:eastAsia="de-DE" w:bidi="en-US"/>
    </w:rPr>
  </w:style>
  <w:style w:type="paragraph" w:customStyle="1" w:styleId="TSP52figure">
    <w:name w:val="TSP_5.2_figure"/>
    <w:qFormat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lang w:eastAsia="de-DE" w:bidi="en-US"/>
    </w:rPr>
  </w:style>
  <w:style w:type="character" w:customStyle="1" w:styleId="HeaderChar">
    <w:name w:val="Header Char"/>
    <w:basedOn w:val="DefaultParagraphFont"/>
    <w:link w:val="Header"/>
    <w:uiPriority w:val="99"/>
    <w:rPr>
      <w:rFonts w:ascii="Minion Pro" w:eastAsia="宋体" w:hAnsi="Minion Pro" w:cs="Times New Roman"/>
      <w:color w:val="000000"/>
      <w:kern w:val="0"/>
      <w:sz w:val="18"/>
      <w:szCs w:val="18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="Minion Pro" w:eastAsia="宋体" w:hAnsi="Minion Pro" w:cs="Times New Roman"/>
      <w:color w:val="000000"/>
      <w:kern w:val="0"/>
      <w:sz w:val="18"/>
      <w:szCs w:val="18"/>
      <w14:ligatures w14:val="none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Minion Pro" w:eastAsia="宋体" w:hAnsi="Minion Pro" w:cs="Times New Roman"/>
      <w:color w:val="000000"/>
      <w:kern w:val="0"/>
      <w:szCs w:val="20"/>
      <w14:ligatures w14:val="non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Minion Pro" w:eastAsia="宋体" w:hAnsi="Minion Pro" w:cs="Times New Roman"/>
      <w:b/>
      <w:bCs/>
      <w:color w:val="000000"/>
      <w:kern w:val="0"/>
      <w:szCs w:val="20"/>
      <w14:ligatures w14:val="none"/>
    </w:rPr>
  </w:style>
  <w:style w:type="paragraph" w:customStyle="1" w:styleId="TSP43tablefooter">
    <w:name w:val="TSP_4.3_table_footer"/>
    <w:next w:val="TSP31text"/>
    <w:qFormat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31text">
    <w:name w:val="TSP_3.1_text"/>
    <w:qFormat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59C7D-D93E-47A7-906F-607B32AF8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315</Words>
  <Characters>1797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TSP</dc:creator>
  <cp:lastModifiedBy>Production Team</cp:lastModifiedBy>
  <cp:revision>13</cp:revision>
  <dcterms:created xsi:type="dcterms:W3CDTF">2026-07-07T10:21:00Z</dcterms:created>
  <dcterms:modified xsi:type="dcterms:W3CDTF">2026-07-23T06:11:00Z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81fd070a-0c59-408b-8db7-c1ee5f29b37f</vt:lpwstr>
  </property>
  <property fmtid="{D5CDD505-2E9C-101B-9397-08002B2CF9AE}" pid="3" name="KSOTemplateDocerSaveRecord">
    <vt:lpwstr>eyJoZGlkIjoiZTE5ZDEyNjAxZTJkZGI2ZTM3MGYxMDdhMWIxODIwMTYiLCJ1c2VySWQiOiI1MzMwNjQxMjcifQ==</vt:lpwstr>
  </property>
  <property fmtid="{D5CDD505-2E9C-101B-9397-08002B2CF9AE}" pid="4" name="KSOProductBuildVer">
    <vt:lpwstr>2052-12.1.0.26895</vt:lpwstr>
  </property>
  <property fmtid="{D5CDD505-2E9C-101B-9397-08002B2CF9AE}" pid="5" name="ICV">
    <vt:lpwstr>2BF19DFCE13C4A19A09A7ADB104FB679_12</vt:lpwstr>
  </property>
</Properties>
</file>