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F0819" w14:textId="0FA7D8BA" w:rsidR="00953F4B" w:rsidRPr="00953F4B" w:rsidRDefault="00953F4B" w:rsidP="00953F4B">
      <w:pPr>
        <w:spacing w:after="60"/>
        <w:ind w:firstLine="425"/>
        <w:jc w:val="left"/>
        <w:rPr>
          <w:szCs w:val="22"/>
        </w:rPr>
      </w:pPr>
      <w:r w:rsidRPr="00953F4B">
        <w:rPr>
          <w:b/>
          <w:bCs/>
          <w:szCs w:val="22"/>
        </w:rPr>
        <w:t xml:space="preserve">Supplementary Table </w:t>
      </w:r>
      <w:r>
        <w:rPr>
          <w:rFonts w:hint="eastAsia"/>
          <w:b/>
          <w:bCs/>
          <w:szCs w:val="22"/>
        </w:rPr>
        <w:t>S</w:t>
      </w:r>
      <w:r w:rsidRPr="00953F4B">
        <w:rPr>
          <w:b/>
          <w:bCs/>
          <w:szCs w:val="22"/>
        </w:rPr>
        <w:t>1.</w:t>
      </w:r>
      <w:r w:rsidRPr="00953F4B">
        <w:rPr>
          <w:szCs w:val="22"/>
        </w:rPr>
        <w:t xml:space="preserve"> Comparative overview of PFAS congener</w:t>
      </w:r>
      <w:r w:rsidRPr="00953F4B">
        <w:rPr>
          <w:szCs w:val="22"/>
        </w:rPr>
        <w:noBreakHyphen/>
        <w:t>specific mitochondrial toxicity</w:t>
      </w:r>
    </w:p>
    <w:tbl>
      <w:tblPr>
        <w:tblStyle w:val="2"/>
        <w:tblW w:w="93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558"/>
        <w:gridCol w:w="816"/>
        <w:gridCol w:w="947"/>
        <w:gridCol w:w="950"/>
        <w:gridCol w:w="856"/>
        <w:gridCol w:w="1140"/>
        <w:gridCol w:w="1523"/>
        <w:gridCol w:w="1484"/>
        <w:gridCol w:w="552"/>
      </w:tblGrid>
      <w:tr w:rsidR="00953F4B" w:rsidRPr="00953F4B" w14:paraId="443F806D" w14:textId="77777777" w:rsidTr="00953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66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006795C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Chain length</w:t>
            </w:r>
          </w:p>
        </w:tc>
        <w:tc>
          <w:tcPr>
            <w:tcW w:w="69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36A5C79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PFAS</w:t>
            </w:r>
          </w:p>
        </w:tc>
        <w:tc>
          <w:tcPr>
            <w:tcW w:w="101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6A3B36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b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Functional group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06E8962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Bioaccumulation tendency (Yes or No)</w:t>
            </w:r>
          </w:p>
        </w:tc>
        <w:tc>
          <w:tcPr>
            <w:tcW w:w="117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B996BA9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C</w:t>
            </w:r>
            <w:r w:rsidRPr="00953F4B">
              <w:rPr>
                <w:rFonts w:cstheme="minorBidi"/>
                <w:b/>
                <w:bCs/>
                <w:sz w:val="20"/>
                <w:szCs w:val="16"/>
              </w:rPr>
              <w:t>hanges in mitochondrial membrane potential</w:t>
            </w:r>
          </w:p>
        </w:tc>
        <w:tc>
          <w:tcPr>
            <w:tcW w:w="106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7C4245D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6"/>
              </w:rPr>
            </w:pPr>
            <w:r w:rsidRPr="00953F4B">
              <w:rPr>
                <w:rFonts w:cstheme="minorBidi"/>
                <w:b/>
                <w:bCs/>
                <w:sz w:val="20"/>
                <w:szCs w:val="16"/>
              </w:rPr>
              <w:t>ROS/RNS generation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AB3C1D4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E</w:t>
            </w:r>
            <w:r w:rsidRPr="00953F4B">
              <w:rPr>
                <w:rFonts w:cstheme="minorBidi"/>
                <w:b/>
                <w:bCs/>
                <w:sz w:val="20"/>
                <w:szCs w:val="16"/>
              </w:rPr>
              <w:t>ffects on oxidative phosphorylation or the TCA cycle</w:t>
            </w:r>
          </w:p>
        </w:tc>
        <w:tc>
          <w:tcPr>
            <w:tcW w:w="18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D1FA4C7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C</w:t>
            </w:r>
            <w:r w:rsidRPr="00953F4B">
              <w:rPr>
                <w:rFonts w:cstheme="minorBidi"/>
                <w:b/>
                <w:bCs/>
                <w:sz w:val="20"/>
                <w:szCs w:val="16"/>
              </w:rPr>
              <w:t>hanges related to apoptosis, ferroptosis, and autophagy/mitophagy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2013A10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E</w:t>
            </w:r>
            <w:r w:rsidRPr="00953F4B">
              <w:rPr>
                <w:rFonts w:cstheme="minorBidi"/>
                <w:b/>
                <w:bCs/>
                <w:sz w:val="20"/>
                <w:szCs w:val="16"/>
              </w:rPr>
              <w:t>vidence type</w:t>
            </w:r>
          </w:p>
        </w:tc>
        <w:tc>
          <w:tcPr>
            <w:tcW w:w="68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41D5480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References</w:t>
            </w:r>
          </w:p>
        </w:tc>
      </w:tr>
      <w:tr w:rsidR="00953F4B" w:rsidRPr="00953F4B" w14:paraId="2C2FDF7B" w14:textId="77777777" w:rsidTr="00953F4B">
        <w:trPr>
          <w:jc w:val="center"/>
        </w:trPr>
        <w:tc>
          <w:tcPr>
            <w:tcW w:w="660" w:type="dxa"/>
            <w:tcBorders>
              <w:top w:val="single" w:sz="4" w:space="0" w:color="auto"/>
            </w:tcBorders>
            <w:vAlign w:val="center"/>
          </w:tcPr>
          <w:p w14:paraId="532EABD7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Long chain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center"/>
          </w:tcPr>
          <w:p w14:paraId="40833391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PFOS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14:paraId="045E2110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Sulfonic acid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</w:tcPr>
          <w:p w14:paraId="2A271F0E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Yes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39DF376D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Reduce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center"/>
          </w:tcPr>
          <w:p w14:paraId="435E142F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ROS accumulation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center"/>
          </w:tcPr>
          <w:p w14:paraId="0B3922C6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No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vAlign w:val="center"/>
          </w:tcPr>
          <w:p w14:paraId="29F7B549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Activating caspase-9 and caspase-3/7 and triggering apoptosis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EF28391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i/>
                <w:iCs/>
                <w:sz w:val="20"/>
                <w:szCs w:val="16"/>
              </w:rPr>
              <w:t>In vitro</w:t>
            </w:r>
            <w:r w:rsidRPr="00953F4B">
              <w:rPr>
                <w:sz w:val="20"/>
                <w:szCs w:val="16"/>
              </w:rPr>
              <w:t xml:space="preserve"> (</w:t>
            </w:r>
            <w:r w:rsidRPr="00953F4B">
              <w:rPr>
                <w:bCs/>
                <w:sz w:val="20"/>
                <w:szCs w:val="16"/>
              </w:rPr>
              <w:t>human lymphocytes and normal human-hamster hybrid cells</w:t>
            </w:r>
            <w:r w:rsidRPr="00953F4B">
              <w:rPr>
                <w:sz w:val="20"/>
                <w:szCs w:val="16"/>
              </w:rPr>
              <w:t>)</w:t>
            </w:r>
          </w:p>
        </w:tc>
        <w:tc>
          <w:tcPr>
            <w:tcW w:w="683" w:type="dxa"/>
            <w:tcBorders>
              <w:top w:val="single" w:sz="4" w:space="0" w:color="auto"/>
            </w:tcBorders>
            <w:vAlign w:val="center"/>
          </w:tcPr>
          <w:p w14:paraId="58AE278B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[44], [48]</w:t>
            </w:r>
          </w:p>
        </w:tc>
      </w:tr>
      <w:tr w:rsidR="00953F4B" w:rsidRPr="00953F4B" w14:paraId="6344E703" w14:textId="77777777" w:rsidTr="00953F4B">
        <w:trPr>
          <w:jc w:val="center"/>
        </w:trPr>
        <w:tc>
          <w:tcPr>
            <w:tcW w:w="660" w:type="dxa"/>
            <w:vAlign w:val="center"/>
          </w:tcPr>
          <w:p w14:paraId="439D3F4F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Long chain</w:t>
            </w:r>
          </w:p>
        </w:tc>
        <w:tc>
          <w:tcPr>
            <w:tcW w:w="690" w:type="dxa"/>
            <w:vAlign w:val="center"/>
          </w:tcPr>
          <w:p w14:paraId="02929A70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PFOA</w:t>
            </w:r>
          </w:p>
        </w:tc>
        <w:tc>
          <w:tcPr>
            <w:tcW w:w="1012" w:type="dxa"/>
            <w:vAlign w:val="center"/>
          </w:tcPr>
          <w:p w14:paraId="4D3B5AE8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Carboxylic acid</w:t>
            </w:r>
          </w:p>
        </w:tc>
        <w:tc>
          <w:tcPr>
            <w:tcW w:w="1175" w:type="dxa"/>
            <w:vAlign w:val="center"/>
          </w:tcPr>
          <w:p w14:paraId="791B542A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Yes</w:t>
            </w:r>
          </w:p>
        </w:tc>
        <w:tc>
          <w:tcPr>
            <w:tcW w:w="1179" w:type="dxa"/>
            <w:vAlign w:val="center"/>
          </w:tcPr>
          <w:p w14:paraId="2878D6F4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Altered</w:t>
            </w:r>
          </w:p>
        </w:tc>
        <w:tc>
          <w:tcPr>
            <w:tcW w:w="1061" w:type="dxa"/>
            <w:vAlign w:val="center"/>
          </w:tcPr>
          <w:p w14:paraId="3EDB26AF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ROS accumulation</w:t>
            </w:r>
          </w:p>
        </w:tc>
        <w:tc>
          <w:tcPr>
            <w:tcW w:w="1415" w:type="dxa"/>
            <w:vAlign w:val="center"/>
          </w:tcPr>
          <w:p w14:paraId="7867CB75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No</w:t>
            </w:r>
          </w:p>
        </w:tc>
        <w:tc>
          <w:tcPr>
            <w:tcW w:w="1892" w:type="dxa"/>
            <w:vAlign w:val="center"/>
          </w:tcPr>
          <w:p w14:paraId="40F53713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Activated the p53 axis, thereby engaging the intrinsic mitochondrial apoptotic program</w:t>
            </w:r>
          </w:p>
        </w:tc>
        <w:tc>
          <w:tcPr>
            <w:tcW w:w="1843" w:type="dxa"/>
            <w:vAlign w:val="center"/>
          </w:tcPr>
          <w:p w14:paraId="1A4E9937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i/>
                <w:iCs/>
                <w:sz w:val="20"/>
                <w:szCs w:val="16"/>
              </w:rPr>
              <w:t>I</w:t>
            </w:r>
            <w:r w:rsidRPr="00953F4B">
              <w:rPr>
                <w:rFonts w:cstheme="minorBidi"/>
                <w:i/>
                <w:iCs/>
                <w:sz w:val="20"/>
                <w:szCs w:val="16"/>
              </w:rPr>
              <w:t>n vitro</w:t>
            </w:r>
            <w:r w:rsidRPr="00953F4B">
              <w:rPr>
                <w:rFonts w:cstheme="minorBidi"/>
                <w:sz w:val="20"/>
                <w:szCs w:val="16"/>
              </w:rPr>
              <w:t xml:space="preserve"> (</w:t>
            </w:r>
            <w:r w:rsidRPr="00953F4B">
              <w:rPr>
                <w:rFonts w:cstheme="minorBidi"/>
                <w:bCs/>
                <w:sz w:val="20"/>
                <w:szCs w:val="16"/>
              </w:rPr>
              <w:t>HepG2 and HaCaT cells</w:t>
            </w:r>
            <w:r w:rsidRPr="00953F4B">
              <w:rPr>
                <w:rFonts w:cstheme="minorBidi"/>
                <w:sz w:val="20"/>
                <w:szCs w:val="16"/>
              </w:rPr>
              <w:t>), animal (</w:t>
            </w:r>
            <w:r w:rsidRPr="00953F4B">
              <w:rPr>
                <w:rFonts w:cstheme="minorBidi"/>
                <w:bCs/>
                <w:sz w:val="20"/>
                <w:szCs w:val="16"/>
              </w:rPr>
              <w:t>C57BL/6J mice</w:t>
            </w:r>
            <w:r w:rsidRPr="00953F4B">
              <w:rPr>
                <w:rFonts w:cstheme="minorBidi"/>
                <w:sz w:val="20"/>
                <w:szCs w:val="16"/>
              </w:rPr>
              <w:t>)</w:t>
            </w:r>
          </w:p>
        </w:tc>
        <w:tc>
          <w:tcPr>
            <w:tcW w:w="683" w:type="dxa"/>
            <w:vAlign w:val="center"/>
          </w:tcPr>
          <w:p w14:paraId="54588721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[32], [41], [46]</w:t>
            </w:r>
          </w:p>
        </w:tc>
      </w:tr>
      <w:tr w:rsidR="00953F4B" w:rsidRPr="00953F4B" w14:paraId="7C334170" w14:textId="77777777" w:rsidTr="00953F4B">
        <w:trPr>
          <w:jc w:val="center"/>
        </w:trPr>
        <w:tc>
          <w:tcPr>
            <w:tcW w:w="660" w:type="dxa"/>
            <w:vAlign w:val="center"/>
          </w:tcPr>
          <w:p w14:paraId="655F38C0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Long chain</w:t>
            </w:r>
          </w:p>
        </w:tc>
        <w:tc>
          <w:tcPr>
            <w:tcW w:w="690" w:type="dxa"/>
            <w:vAlign w:val="center"/>
          </w:tcPr>
          <w:p w14:paraId="111115B7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PFDA</w:t>
            </w:r>
          </w:p>
        </w:tc>
        <w:tc>
          <w:tcPr>
            <w:tcW w:w="1012" w:type="dxa"/>
            <w:vAlign w:val="center"/>
          </w:tcPr>
          <w:p w14:paraId="577AB98A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Carboxylic acid</w:t>
            </w:r>
          </w:p>
        </w:tc>
        <w:tc>
          <w:tcPr>
            <w:tcW w:w="1175" w:type="dxa"/>
            <w:vAlign w:val="center"/>
          </w:tcPr>
          <w:p w14:paraId="1A2CB57B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Yes</w:t>
            </w:r>
          </w:p>
          <w:p w14:paraId="403AFB10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</w:p>
        </w:tc>
        <w:tc>
          <w:tcPr>
            <w:tcW w:w="1179" w:type="dxa"/>
            <w:vAlign w:val="center"/>
          </w:tcPr>
          <w:p w14:paraId="31BE6450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No</w:t>
            </w:r>
          </w:p>
        </w:tc>
        <w:tc>
          <w:tcPr>
            <w:tcW w:w="1061" w:type="dxa"/>
            <w:vAlign w:val="center"/>
          </w:tcPr>
          <w:p w14:paraId="701B202F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No</w:t>
            </w:r>
          </w:p>
        </w:tc>
        <w:tc>
          <w:tcPr>
            <w:tcW w:w="1415" w:type="dxa"/>
            <w:vAlign w:val="center"/>
          </w:tcPr>
          <w:p w14:paraId="5BAEA415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Suppressed mitochondrial fatty-acid β-oxidation and attenuated TCA-cycle activity</w:t>
            </w:r>
          </w:p>
        </w:tc>
        <w:tc>
          <w:tcPr>
            <w:tcW w:w="1892" w:type="dxa"/>
            <w:vAlign w:val="center"/>
          </w:tcPr>
          <w:p w14:paraId="55D9A0F4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Drive opening of the mPTP, releasing apoptogenic factors into the cytosol</w:t>
            </w:r>
          </w:p>
        </w:tc>
        <w:tc>
          <w:tcPr>
            <w:tcW w:w="1843" w:type="dxa"/>
            <w:vAlign w:val="center"/>
          </w:tcPr>
          <w:p w14:paraId="19009CFD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i/>
                <w:iCs/>
                <w:sz w:val="20"/>
                <w:szCs w:val="16"/>
              </w:rPr>
              <w:t>In vitro</w:t>
            </w:r>
            <w:r w:rsidRPr="00953F4B">
              <w:rPr>
                <w:sz w:val="20"/>
                <w:szCs w:val="16"/>
              </w:rPr>
              <w:t xml:space="preserve"> (</w:t>
            </w:r>
            <w:r w:rsidRPr="00953F4B">
              <w:rPr>
                <w:bCs/>
                <w:sz w:val="20"/>
                <w:szCs w:val="16"/>
              </w:rPr>
              <w:t>HTR-8/SVneo cells and HCT116 cells</w:t>
            </w:r>
            <w:r w:rsidRPr="00953F4B">
              <w:rPr>
                <w:sz w:val="20"/>
                <w:szCs w:val="16"/>
              </w:rPr>
              <w:t>)</w:t>
            </w:r>
          </w:p>
        </w:tc>
        <w:tc>
          <w:tcPr>
            <w:tcW w:w="683" w:type="dxa"/>
            <w:vAlign w:val="center"/>
          </w:tcPr>
          <w:p w14:paraId="47936269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[43], [47]</w:t>
            </w:r>
          </w:p>
        </w:tc>
      </w:tr>
      <w:tr w:rsidR="00953F4B" w:rsidRPr="00953F4B" w14:paraId="01CE9D8B" w14:textId="77777777" w:rsidTr="00953F4B">
        <w:trPr>
          <w:jc w:val="center"/>
        </w:trPr>
        <w:tc>
          <w:tcPr>
            <w:tcW w:w="660" w:type="dxa"/>
            <w:tcBorders>
              <w:bottom w:val="single" w:sz="8" w:space="0" w:color="auto"/>
            </w:tcBorders>
            <w:vAlign w:val="center"/>
          </w:tcPr>
          <w:p w14:paraId="55626A16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Long chain</w:t>
            </w:r>
          </w:p>
        </w:tc>
        <w:tc>
          <w:tcPr>
            <w:tcW w:w="690" w:type="dxa"/>
            <w:tcBorders>
              <w:bottom w:val="single" w:sz="8" w:space="0" w:color="auto"/>
            </w:tcBorders>
            <w:vAlign w:val="center"/>
          </w:tcPr>
          <w:p w14:paraId="3B8CA655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PFNA</w:t>
            </w:r>
          </w:p>
        </w:tc>
        <w:tc>
          <w:tcPr>
            <w:tcW w:w="1012" w:type="dxa"/>
            <w:tcBorders>
              <w:bottom w:val="single" w:sz="8" w:space="0" w:color="auto"/>
            </w:tcBorders>
            <w:vAlign w:val="center"/>
          </w:tcPr>
          <w:p w14:paraId="1DD5EAA4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Carboxylic acid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vAlign w:val="center"/>
          </w:tcPr>
          <w:p w14:paraId="32974E4D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Yes</w:t>
            </w:r>
          </w:p>
        </w:tc>
        <w:tc>
          <w:tcPr>
            <w:tcW w:w="1179" w:type="dxa"/>
            <w:tcBorders>
              <w:bottom w:val="single" w:sz="8" w:space="0" w:color="auto"/>
            </w:tcBorders>
            <w:vAlign w:val="center"/>
          </w:tcPr>
          <w:p w14:paraId="71A3A6B4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No</w:t>
            </w:r>
          </w:p>
        </w:tc>
        <w:tc>
          <w:tcPr>
            <w:tcW w:w="1061" w:type="dxa"/>
            <w:tcBorders>
              <w:bottom w:val="single" w:sz="8" w:space="0" w:color="auto"/>
            </w:tcBorders>
            <w:vAlign w:val="center"/>
          </w:tcPr>
          <w:p w14:paraId="2E3F3337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Elevate mitochondrial ROS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vAlign w:val="center"/>
          </w:tcPr>
          <w:p w14:paraId="499C8724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No</w:t>
            </w:r>
          </w:p>
        </w:tc>
        <w:tc>
          <w:tcPr>
            <w:tcW w:w="1892" w:type="dxa"/>
            <w:tcBorders>
              <w:bottom w:val="single" w:sz="8" w:space="0" w:color="auto"/>
            </w:tcBorders>
            <w:vAlign w:val="center"/>
          </w:tcPr>
          <w:p w14:paraId="14F958D5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Provoke DNA damage and early apoptosis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vAlign w:val="center"/>
          </w:tcPr>
          <w:p w14:paraId="3CD1944F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i/>
                <w:iCs/>
                <w:sz w:val="20"/>
                <w:szCs w:val="16"/>
              </w:rPr>
              <w:t>In vitro</w:t>
            </w:r>
            <w:r w:rsidRPr="00953F4B">
              <w:rPr>
                <w:sz w:val="20"/>
                <w:szCs w:val="16"/>
              </w:rPr>
              <w:t xml:space="preserve"> (</w:t>
            </w:r>
            <w:r w:rsidRPr="00953F4B">
              <w:rPr>
                <w:bCs/>
                <w:sz w:val="20"/>
                <w:szCs w:val="16"/>
              </w:rPr>
              <w:t>oocytes from 4-week-old female CD-1 mice</w:t>
            </w:r>
            <w:r w:rsidRPr="00953F4B">
              <w:rPr>
                <w:sz w:val="20"/>
                <w:szCs w:val="16"/>
              </w:rPr>
              <w:t>)</w:t>
            </w:r>
          </w:p>
        </w:tc>
        <w:tc>
          <w:tcPr>
            <w:tcW w:w="683" w:type="dxa"/>
            <w:tcBorders>
              <w:bottom w:val="single" w:sz="8" w:space="0" w:color="auto"/>
            </w:tcBorders>
            <w:vAlign w:val="center"/>
          </w:tcPr>
          <w:p w14:paraId="4F3365A0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[18]</w:t>
            </w:r>
          </w:p>
        </w:tc>
      </w:tr>
    </w:tbl>
    <w:p w14:paraId="6E7E9EFB" w14:textId="668C96B2" w:rsidR="00953F4B" w:rsidRPr="00953F4B" w:rsidRDefault="00953F4B" w:rsidP="00953F4B">
      <w:pPr>
        <w:spacing w:after="60"/>
        <w:ind w:firstLine="425"/>
        <w:jc w:val="left"/>
        <w:rPr>
          <w:szCs w:val="22"/>
        </w:rPr>
      </w:pPr>
      <w:r w:rsidRPr="00953F4B">
        <w:rPr>
          <w:b/>
          <w:bCs/>
          <w:szCs w:val="22"/>
        </w:rPr>
        <w:t>Note:</w:t>
      </w:r>
      <w:r w:rsidRPr="00953F4B">
        <w:rPr>
          <w:szCs w:val="22"/>
        </w:rPr>
        <w:t xml:space="preserve"> Short-chain and replacement PFAS remain insufficiently characterized. PFOS, Perfluorooctane sulfonic acid; PFOA, Perfluorooctanoic acid; PFDA, Perfluorodecanoic acid; PFNA, Perfluorononanoic acid; ROS, Reactive oxygen species; ΔΨm, Mitochondrial Membrane Potential; RNS, Reactive Nitrogen Species; mPTP, Mitochondrial permeability-transition pore.</w:t>
      </w:r>
    </w:p>
    <w:p w14:paraId="0756B6B3" w14:textId="5A71AA2E" w:rsidR="00953F4B" w:rsidRPr="00953F4B" w:rsidRDefault="00953F4B" w:rsidP="00953F4B">
      <w:pPr>
        <w:spacing w:after="60"/>
        <w:ind w:firstLine="425"/>
        <w:jc w:val="left"/>
        <w:rPr>
          <w:szCs w:val="22"/>
        </w:rPr>
      </w:pPr>
      <w:r w:rsidRPr="00953F4B">
        <w:rPr>
          <w:b/>
          <w:bCs/>
          <w:szCs w:val="22"/>
        </w:rPr>
        <w:t xml:space="preserve">Supplementary Table </w:t>
      </w:r>
      <w:r>
        <w:rPr>
          <w:rFonts w:hint="eastAsia"/>
          <w:b/>
          <w:bCs/>
          <w:szCs w:val="22"/>
        </w:rPr>
        <w:t>S</w:t>
      </w:r>
      <w:r w:rsidRPr="00953F4B">
        <w:rPr>
          <w:b/>
          <w:bCs/>
          <w:szCs w:val="22"/>
        </w:rPr>
        <w:t>2.</w:t>
      </w:r>
      <w:r w:rsidRPr="00953F4B">
        <w:rPr>
          <w:szCs w:val="22"/>
        </w:rPr>
        <w:t xml:space="preserve"> Comparative analysis of PFAS-induced mitochondrial dysfunction across target organs</w:t>
      </w:r>
    </w:p>
    <w:tbl>
      <w:tblPr>
        <w:tblStyle w:val="1"/>
        <w:tblW w:w="93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914"/>
        <w:gridCol w:w="1483"/>
        <w:gridCol w:w="1127"/>
        <w:gridCol w:w="1157"/>
        <w:gridCol w:w="1825"/>
        <w:gridCol w:w="1142"/>
        <w:gridCol w:w="1028"/>
      </w:tblGrid>
      <w:tr w:rsidR="00953F4B" w:rsidRPr="00953F4B" w14:paraId="2A800B17" w14:textId="77777777" w:rsidTr="00953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366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4ABA28F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b/>
                <w:sz w:val="20"/>
                <w:szCs w:val="16"/>
              </w:rPr>
            </w:pPr>
            <w:r w:rsidRPr="00953F4B">
              <w:rPr>
                <w:rFonts w:eastAsia="等线"/>
                <w:b/>
                <w:sz w:val="20"/>
                <w:szCs w:val="16"/>
              </w:rPr>
              <w:t>System</w:t>
            </w:r>
          </w:p>
        </w:tc>
        <w:tc>
          <w:tcPr>
            <w:tcW w:w="488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787FDE5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Major PFAS</w:t>
            </w:r>
          </w:p>
        </w:tc>
        <w:tc>
          <w:tcPr>
            <w:tcW w:w="792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7243200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Key mitochondrial indicators</w:t>
            </w:r>
          </w:p>
        </w:tc>
        <w:tc>
          <w:tcPr>
            <w:tcW w:w="602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9F14D8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Related cell death pathways</w:t>
            </w:r>
          </w:p>
        </w:tc>
        <w:tc>
          <w:tcPr>
            <w:tcW w:w="618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BEFA36B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Current evidence</w:t>
            </w:r>
          </w:p>
        </w:tc>
        <w:tc>
          <w:tcPr>
            <w:tcW w:w="975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35D30F1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Mechanism</w:t>
            </w:r>
          </w:p>
        </w:tc>
        <w:tc>
          <w:tcPr>
            <w:tcW w:w="610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92B44B2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Links to Human Diseases</w:t>
            </w:r>
          </w:p>
        </w:tc>
        <w:tc>
          <w:tcPr>
            <w:tcW w:w="549" w:type="pc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BF754E2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b/>
                <w:bCs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References</w:t>
            </w:r>
          </w:p>
        </w:tc>
      </w:tr>
      <w:tr w:rsidR="00953F4B" w:rsidRPr="00953F4B" w14:paraId="5DE75546" w14:textId="77777777" w:rsidTr="00953F4B">
        <w:trPr>
          <w:jc w:val="center"/>
        </w:trPr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0D36328C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Reproductive</w:t>
            </w:r>
          </w:p>
        </w:tc>
        <w:tc>
          <w:tcPr>
            <w:tcW w:w="488" w:type="pct"/>
            <w:tcBorders>
              <w:top w:val="single" w:sz="4" w:space="0" w:color="auto"/>
            </w:tcBorders>
            <w:vAlign w:val="center"/>
          </w:tcPr>
          <w:p w14:paraId="733DD962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Mixture (7 PFAS), PFOA, PFOS</w:t>
            </w:r>
          </w:p>
        </w:tc>
        <w:tc>
          <w:tcPr>
            <w:tcW w:w="792" w:type="pct"/>
            <w:tcBorders>
              <w:top w:val="single" w:sz="4" w:space="0" w:color="auto"/>
            </w:tcBorders>
            <w:vAlign w:val="center"/>
          </w:tcPr>
          <w:p w14:paraId="26C96B1B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 xml:space="preserve">ROS </w:t>
            </w:r>
            <w:r w:rsidRPr="00953F4B">
              <w:rPr>
                <w:sz w:val="20"/>
                <w:szCs w:val="16"/>
              </w:rPr>
              <w:sym w:font="Symbol" w:char="F0AD"/>
            </w:r>
            <w:r w:rsidRPr="00953F4B">
              <w:rPr>
                <w:sz w:val="20"/>
                <w:szCs w:val="16"/>
              </w:rPr>
              <w:t xml:space="preserve">, ΔΨm </w:t>
            </w:r>
            <w:r w:rsidRPr="00953F4B">
              <w:rPr>
                <w:sz w:val="20"/>
                <w:szCs w:val="16"/>
              </w:rPr>
              <w:sym w:font="Symbol" w:char="F0AF"/>
            </w:r>
            <w:r w:rsidRPr="00953F4B">
              <w:rPr>
                <w:sz w:val="20"/>
                <w:szCs w:val="16"/>
              </w:rPr>
              <w:t>, aberrant Ca</w:t>
            </w:r>
            <w:r w:rsidRPr="00953F4B">
              <w:rPr>
                <w:sz w:val="20"/>
                <w:szCs w:val="16"/>
                <w:vertAlign w:val="superscript"/>
              </w:rPr>
              <w:t>2+</w:t>
            </w:r>
            <w:r w:rsidRPr="00953F4B">
              <w:rPr>
                <w:sz w:val="20"/>
                <w:szCs w:val="16"/>
              </w:rPr>
              <w:t xml:space="preserve"> oscillations, mitochondrial membrane permeability </w:t>
            </w:r>
            <w:r w:rsidRPr="00953F4B">
              <w:rPr>
                <w:sz w:val="20"/>
                <w:szCs w:val="16"/>
              </w:rPr>
              <w:sym w:font="Symbol" w:char="F0AD"/>
            </w:r>
            <w:r w:rsidRPr="00953F4B">
              <w:rPr>
                <w:sz w:val="20"/>
                <w:szCs w:val="16"/>
              </w:rPr>
              <w:t xml:space="preserve">, cytochrome c release, </w:t>
            </w:r>
            <w:r w:rsidRPr="00953F4B">
              <w:rPr>
                <w:sz w:val="20"/>
                <w:szCs w:val="16"/>
              </w:rPr>
              <w:lastRenderedPageBreak/>
              <w:t xml:space="preserve">mitochondrial superoxide </w:t>
            </w:r>
            <w:r w:rsidRPr="00953F4B">
              <w:rPr>
                <w:sz w:val="20"/>
                <w:szCs w:val="16"/>
              </w:rPr>
              <w:sym w:font="Symbol" w:char="F0AD"/>
            </w:r>
          </w:p>
        </w:tc>
        <w:tc>
          <w:tcPr>
            <w:tcW w:w="602" w:type="pct"/>
            <w:tcBorders>
              <w:top w:val="single" w:sz="4" w:space="0" w:color="auto"/>
            </w:tcBorders>
            <w:vAlign w:val="center"/>
          </w:tcPr>
          <w:p w14:paraId="181EB0DF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lastRenderedPageBreak/>
              <w:t>Apoptosis (Bax, caspase</w:t>
            </w:r>
            <w:r w:rsidRPr="00953F4B">
              <w:rPr>
                <w:sz w:val="20"/>
                <w:szCs w:val="16"/>
              </w:rPr>
              <w:noBreakHyphen/>
              <w:t>3)</w:t>
            </w:r>
          </w:p>
        </w:tc>
        <w:tc>
          <w:tcPr>
            <w:tcW w:w="618" w:type="pct"/>
            <w:tcBorders>
              <w:top w:val="single" w:sz="4" w:space="0" w:color="auto"/>
            </w:tcBorders>
            <w:vAlign w:val="center"/>
          </w:tcPr>
          <w:p w14:paraId="6C74081E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i/>
                <w:iCs/>
                <w:sz w:val="20"/>
                <w:szCs w:val="16"/>
              </w:rPr>
              <w:t>In vitro</w:t>
            </w:r>
            <w:r w:rsidRPr="00953F4B">
              <w:rPr>
                <w:sz w:val="20"/>
                <w:szCs w:val="16"/>
              </w:rPr>
              <w:t xml:space="preserve"> (murine GCs, TM3 Leydig)</w:t>
            </w:r>
          </w:p>
        </w:tc>
        <w:tc>
          <w:tcPr>
            <w:tcW w:w="975" w:type="pct"/>
            <w:tcBorders>
              <w:top w:val="single" w:sz="4" w:space="0" w:color="auto"/>
            </w:tcBorders>
            <w:vAlign w:val="center"/>
          </w:tcPr>
          <w:p w14:paraId="3A684E13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Common</w:t>
            </w:r>
            <w:r w:rsidRPr="00953F4B">
              <w:rPr>
                <w:sz w:val="20"/>
                <w:szCs w:val="16"/>
              </w:rPr>
              <w:t xml:space="preserve">: oxidative stress, ΔΨm </w:t>
            </w:r>
            <w:r w:rsidRPr="00953F4B">
              <w:rPr>
                <w:sz w:val="20"/>
                <w:szCs w:val="16"/>
              </w:rPr>
              <w:sym w:font="Symbol" w:char="F0AF"/>
            </w:r>
            <w:r w:rsidRPr="00953F4B">
              <w:rPr>
                <w:sz w:val="20"/>
                <w:szCs w:val="16"/>
              </w:rPr>
              <w:t xml:space="preserve">, </w:t>
            </w:r>
            <w:r w:rsidRPr="00953F4B">
              <w:rPr>
                <w:sz w:val="20"/>
                <w:szCs w:val="16"/>
              </w:rPr>
              <w:br/>
            </w:r>
            <w:r w:rsidRPr="00953F4B">
              <w:rPr>
                <w:b/>
                <w:bCs/>
                <w:sz w:val="20"/>
                <w:szCs w:val="16"/>
              </w:rPr>
              <w:t>Specific</w:t>
            </w:r>
            <w:r w:rsidRPr="00953F4B">
              <w:rPr>
                <w:sz w:val="20"/>
                <w:szCs w:val="16"/>
              </w:rPr>
              <w:t xml:space="preserve">: SOD1 </w:t>
            </w:r>
            <w:r w:rsidRPr="00953F4B">
              <w:rPr>
                <w:sz w:val="20"/>
                <w:szCs w:val="16"/>
              </w:rPr>
              <w:sym w:font="Symbol" w:char="F0AF"/>
            </w:r>
            <w:r w:rsidRPr="00953F4B">
              <w:rPr>
                <w:sz w:val="20"/>
                <w:szCs w:val="16"/>
              </w:rPr>
              <w:t>, spindle/chromosome misalignment, Ca</w:t>
            </w:r>
            <w:r w:rsidRPr="00953F4B">
              <w:rPr>
                <w:sz w:val="20"/>
                <w:szCs w:val="16"/>
                <w:vertAlign w:val="superscript"/>
              </w:rPr>
              <w:t>2+</w:t>
            </w:r>
            <w:r w:rsidRPr="00953F4B">
              <w:rPr>
                <w:sz w:val="20"/>
                <w:szCs w:val="16"/>
              </w:rPr>
              <w:t xml:space="preserve"> oscillation abnormality, </w:t>
            </w:r>
            <w:r w:rsidRPr="00953F4B">
              <w:rPr>
                <w:sz w:val="20"/>
                <w:szCs w:val="16"/>
              </w:rPr>
              <w:lastRenderedPageBreak/>
              <w:t xml:space="preserve">mitochondrial superoxide </w:t>
            </w:r>
            <w:r w:rsidRPr="00953F4B">
              <w:rPr>
                <w:sz w:val="20"/>
                <w:szCs w:val="16"/>
              </w:rPr>
              <w:sym w:font="Symbol" w:char="F0AD"/>
            </w:r>
          </w:p>
        </w:tc>
        <w:tc>
          <w:tcPr>
            <w:tcW w:w="610" w:type="pct"/>
            <w:tcBorders>
              <w:top w:val="single" w:sz="4" w:space="0" w:color="auto"/>
            </w:tcBorders>
            <w:vAlign w:val="center"/>
          </w:tcPr>
          <w:p w14:paraId="4E880D63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lastRenderedPageBreak/>
              <w:t>Offspring health, cell death, chemoresistance</w:t>
            </w:r>
          </w:p>
        </w:tc>
        <w:tc>
          <w:tcPr>
            <w:tcW w:w="549" w:type="pct"/>
            <w:tcBorders>
              <w:top w:val="single" w:sz="4" w:space="0" w:color="auto"/>
            </w:tcBorders>
            <w:vAlign w:val="center"/>
          </w:tcPr>
          <w:p w14:paraId="54766AAD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[53], [55], [56]</w:t>
            </w:r>
          </w:p>
        </w:tc>
      </w:tr>
      <w:tr w:rsidR="00953F4B" w:rsidRPr="00953F4B" w14:paraId="3703827C" w14:textId="77777777" w:rsidTr="00953F4B">
        <w:trPr>
          <w:jc w:val="center"/>
        </w:trPr>
        <w:tc>
          <w:tcPr>
            <w:tcW w:w="366" w:type="pct"/>
            <w:vAlign w:val="center"/>
          </w:tcPr>
          <w:p w14:paraId="0EBF43E3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Digestive (liver)</w:t>
            </w:r>
          </w:p>
        </w:tc>
        <w:tc>
          <w:tcPr>
            <w:tcW w:w="488" w:type="pct"/>
            <w:vAlign w:val="center"/>
          </w:tcPr>
          <w:p w14:paraId="5A9C0CB1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PFOA; PFOS</w:t>
            </w:r>
          </w:p>
        </w:tc>
        <w:tc>
          <w:tcPr>
            <w:tcW w:w="792" w:type="pct"/>
            <w:vAlign w:val="center"/>
          </w:tcPr>
          <w:p w14:paraId="2F9FC91B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bCs/>
                <w:sz w:val="20"/>
                <w:szCs w:val="16"/>
              </w:rPr>
              <w:t xml:space="preserve">ACOX1 </w:t>
            </w:r>
            <w:r w:rsidRPr="00953F4B">
              <w:rPr>
                <w:bCs/>
                <w:sz w:val="20"/>
                <w:szCs w:val="16"/>
              </w:rPr>
              <w:sym w:font="Symbol" w:char="F0AD"/>
            </w:r>
            <w:r w:rsidRPr="00953F4B">
              <w:rPr>
                <w:bCs/>
                <w:sz w:val="20"/>
                <w:szCs w:val="16"/>
              </w:rPr>
              <w:t xml:space="preserve"> </w:t>
            </w:r>
            <w:r w:rsidRPr="00953F4B">
              <w:rPr>
                <w:bCs/>
                <w:sz w:val="20"/>
                <w:szCs w:val="16"/>
              </w:rPr>
              <w:sym w:font="Symbol" w:char="F0AE"/>
            </w:r>
            <w:r w:rsidRPr="00953F4B">
              <w:rPr>
                <w:bCs/>
                <w:sz w:val="20"/>
                <w:szCs w:val="16"/>
              </w:rPr>
              <w:t xml:space="preserve"> oxidative stress; ultrastructural changes (fission</w:t>
            </w:r>
            <w:r w:rsidRPr="00953F4B">
              <w:rPr>
                <w:bCs/>
                <w:sz w:val="20"/>
                <w:szCs w:val="16"/>
              </w:rPr>
              <w:noBreakHyphen/>
              <w:t>fusion); Ca</w:t>
            </w:r>
            <w:r w:rsidRPr="00953F4B">
              <w:rPr>
                <w:bCs/>
                <w:sz w:val="20"/>
                <w:szCs w:val="16"/>
                <w:vertAlign w:val="superscript"/>
              </w:rPr>
              <w:t>2+</w:t>
            </w:r>
            <w:r w:rsidRPr="00953F4B">
              <w:rPr>
                <w:bCs/>
                <w:sz w:val="20"/>
                <w:szCs w:val="16"/>
              </w:rPr>
              <w:t xml:space="preserve"> overload; mtROS </w:t>
            </w:r>
            <w:r w:rsidRPr="00953F4B">
              <w:rPr>
                <w:bCs/>
                <w:sz w:val="20"/>
                <w:szCs w:val="16"/>
              </w:rPr>
              <w:sym w:font="Symbol" w:char="F0AD"/>
            </w:r>
            <w:r w:rsidRPr="00953F4B">
              <w:rPr>
                <w:bCs/>
                <w:sz w:val="20"/>
                <w:szCs w:val="16"/>
              </w:rPr>
              <w:t xml:space="preserve">; ΔΨm </w:t>
            </w:r>
            <w:r w:rsidRPr="00953F4B">
              <w:rPr>
                <w:bCs/>
                <w:sz w:val="20"/>
                <w:szCs w:val="16"/>
              </w:rPr>
              <w:sym w:font="Symbol" w:char="F0AF"/>
            </w:r>
            <w:r w:rsidRPr="00953F4B">
              <w:rPr>
                <w:bCs/>
                <w:sz w:val="20"/>
                <w:szCs w:val="16"/>
              </w:rPr>
              <w:t>; mPTP opening; mtDNA release; mitochondrial iron overload</w:t>
            </w:r>
          </w:p>
        </w:tc>
        <w:tc>
          <w:tcPr>
            <w:tcW w:w="602" w:type="pct"/>
            <w:vAlign w:val="center"/>
          </w:tcPr>
          <w:p w14:paraId="1FF2CC61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 xml:space="preserve">Apoptosis (Bax, </w:t>
            </w:r>
            <w:r w:rsidRPr="00953F4B">
              <w:rPr>
                <w:bCs/>
                <w:sz w:val="20"/>
                <w:szCs w:val="16"/>
              </w:rPr>
              <w:t xml:space="preserve">cytochrome </w:t>
            </w:r>
            <w:r w:rsidRPr="00953F4B">
              <w:rPr>
                <w:bCs/>
                <w:i/>
                <w:iCs/>
                <w:sz w:val="20"/>
                <w:szCs w:val="16"/>
              </w:rPr>
              <w:t>c</w:t>
            </w:r>
            <w:r w:rsidRPr="00953F4B">
              <w:rPr>
                <w:sz w:val="20"/>
                <w:szCs w:val="16"/>
              </w:rPr>
              <w:t>, caspase</w:t>
            </w:r>
            <w:r w:rsidRPr="00953F4B">
              <w:rPr>
                <w:sz w:val="20"/>
                <w:szCs w:val="16"/>
              </w:rPr>
              <w:noBreakHyphen/>
              <w:t>9/3); Ferroptosis; NLRP3 inflammasome</w:t>
            </w:r>
          </w:p>
        </w:tc>
        <w:tc>
          <w:tcPr>
            <w:tcW w:w="618" w:type="pct"/>
            <w:vAlign w:val="center"/>
          </w:tcPr>
          <w:p w14:paraId="40976839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i/>
                <w:iCs/>
                <w:sz w:val="20"/>
                <w:szCs w:val="16"/>
              </w:rPr>
              <w:t>In vivo</w:t>
            </w:r>
            <w:r w:rsidRPr="00953F4B">
              <w:rPr>
                <w:sz w:val="20"/>
                <w:szCs w:val="16"/>
              </w:rPr>
              <w:t xml:space="preserve"> (mouse, rat) + </w:t>
            </w:r>
            <w:r w:rsidRPr="00953F4B">
              <w:rPr>
                <w:i/>
                <w:iCs/>
                <w:sz w:val="20"/>
                <w:szCs w:val="16"/>
              </w:rPr>
              <w:t>in vitro</w:t>
            </w:r>
            <w:r w:rsidRPr="00953F4B">
              <w:rPr>
                <w:sz w:val="20"/>
                <w:szCs w:val="16"/>
              </w:rPr>
              <w:t xml:space="preserve"> (human hepatocytes)</w:t>
            </w:r>
          </w:p>
        </w:tc>
        <w:tc>
          <w:tcPr>
            <w:tcW w:w="975" w:type="pct"/>
            <w:vAlign w:val="center"/>
          </w:tcPr>
          <w:p w14:paraId="0B863B63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Common</w:t>
            </w:r>
            <w:r w:rsidRPr="00953F4B">
              <w:rPr>
                <w:sz w:val="20"/>
                <w:szCs w:val="16"/>
              </w:rPr>
              <w:t>: oxidative stress, Ca</w:t>
            </w:r>
            <w:r w:rsidRPr="00953F4B">
              <w:rPr>
                <w:sz w:val="20"/>
                <w:szCs w:val="16"/>
                <w:vertAlign w:val="superscript"/>
              </w:rPr>
              <w:t>2+</w:t>
            </w:r>
            <w:r w:rsidRPr="00953F4B">
              <w:rPr>
                <w:sz w:val="20"/>
                <w:szCs w:val="16"/>
              </w:rPr>
              <w:t xml:space="preserve"> dyshomeostasis, ΔΨm/ATP loss, apoptosis</w:t>
            </w:r>
            <w:r w:rsidRPr="00953F4B">
              <w:rPr>
                <w:sz w:val="20"/>
                <w:szCs w:val="16"/>
              </w:rPr>
              <w:br/>
            </w:r>
            <w:r w:rsidRPr="00953F4B">
              <w:rPr>
                <w:b/>
                <w:bCs/>
                <w:sz w:val="20"/>
                <w:szCs w:val="16"/>
              </w:rPr>
              <w:t>Specific</w:t>
            </w:r>
            <w:r w:rsidRPr="00953F4B">
              <w:rPr>
                <w:sz w:val="20"/>
                <w:szCs w:val="16"/>
              </w:rPr>
              <w:t xml:space="preserve">: ACOX1 </w:t>
            </w:r>
            <w:r w:rsidRPr="00953F4B">
              <w:rPr>
                <w:sz w:val="20"/>
                <w:szCs w:val="16"/>
              </w:rPr>
              <w:sym w:font="Symbol" w:char="F0AD"/>
            </w:r>
            <w:r w:rsidRPr="00953F4B">
              <w:rPr>
                <w:sz w:val="20"/>
                <w:szCs w:val="16"/>
              </w:rPr>
              <w:t xml:space="preserve">; ACSL4-ZIP7-VDAC3/MCU &amp; TRPML1-VDAC3 axes </w:t>
            </w:r>
            <w:r w:rsidRPr="00953F4B">
              <w:rPr>
                <w:sz w:val="20"/>
                <w:szCs w:val="16"/>
              </w:rPr>
              <w:sym w:font="Symbol" w:char="F0AE"/>
            </w:r>
            <w:r w:rsidRPr="00953F4B">
              <w:rPr>
                <w:sz w:val="20"/>
                <w:szCs w:val="16"/>
              </w:rPr>
              <w:t xml:space="preserve"> iron overload; NLRP3 activation</w:t>
            </w:r>
          </w:p>
        </w:tc>
        <w:tc>
          <w:tcPr>
            <w:tcW w:w="610" w:type="pct"/>
            <w:vAlign w:val="center"/>
          </w:tcPr>
          <w:p w14:paraId="37A0EEED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Lipid metabolism disorders, liver injury</w:t>
            </w:r>
          </w:p>
        </w:tc>
        <w:tc>
          <w:tcPr>
            <w:tcW w:w="549" w:type="pct"/>
            <w:vAlign w:val="center"/>
          </w:tcPr>
          <w:p w14:paraId="33FAC926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[32], [60], [61]</w:t>
            </w:r>
          </w:p>
        </w:tc>
      </w:tr>
      <w:tr w:rsidR="00953F4B" w:rsidRPr="00953F4B" w14:paraId="229B4798" w14:textId="77777777" w:rsidTr="00953F4B">
        <w:trPr>
          <w:jc w:val="center"/>
        </w:trPr>
        <w:tc>
          <w:tcPr>
            <w:tcW w:w="366" w:type="pct"/>
            <w:vAlign w:val="center"/>
          </w:tcPr>
          <w:p w14:paraId="1CB1940F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Nervous</w:t>
            </w:r>
          </w:p>
        </w:tc>
        <w:tc>
          <w:tcPr>
            <w:tcW w:w="488" w:type="pct"/>
            <w:vAlign w:val="center"/>
          </w:tcPr>
          <w:p w14:paraId="6389C216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PFOA; PFOS</w:t>
            </w:r>
          </w:p>
        </w:tc>
        <w:tc>
          <w:tcPr>
            <w:tcW w:w="792" w:type="pct"/>
            <w:vAlign w:val="center"/>
          </w:tcPr>
          <w:p w14:paraId="36E7C080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 xml:space="preserve">Fragmented mitochondria, ΔΨm </w:t>
            </w:r>
            <w:r w:rsidRPr="00953F4B">
              <w:rPr>
                <w:sz w:val="20"/>
                <w:szCs w:val="16"/>
              </w:rPr>
              <w:sym w:font="Symbol" w:char="F0AF"/>
            </w:r>
            <w:r w:rsidRPr="00953F4B">
              <w:rPr>
                <w:sz w:val="20"/>
                <w:szCs w:val="16"/>
              </w:rPr>
              <w:t xml:space="preserve">, ROS </w:t>
            </w:r>
            <w:r w:rsidRPr="00953F4B">
              <w:rPr>
                <w:sz w:val="20"/>
                <w:szCs w:val="16"/>
              </w:rPr>
              <w:sym w:font="Symbol" w:char="F0AD"/>
            </w:r>
            <w:r w:rsidRPr="00953F4B">
              <w:rPr>
                <w:sz w:val="20"/>
                <w:szCs w:val="16"/>
              </w:rPr>
              <w:t xml:space="preserve">, JNK phosphorylation/translocation, ATP-synthase activity </w:t>
            </w:r>
            <w:r w:rsidRPr="00953F4B">
              <w:rPr>
                <w:sz w:val="20"/>
                <w:szCs w:val="16"/>
              </w:rPr>
              <w:sym w:font="Symbol" w:char="F0AF"/>
            </w:r>
            <w:r w:rsidRPr="00953F4B">
              <w:rPr>
                <w:sz w:val="20"/>
                <w:szCs w:val="16"/>
              </w:rPr>
              <w:t xml:space="preserve">, spare respiratory capacity </w:t>
            </w:r>
            <w:r w:rsidRPr="00953F4B">
              <w:rPr>
                <w:sz w:val="20"/>
                <w:szCs w:val="16"/>
              </w:rPr>
              <w:sym w:font="Symbol" w:char="F0AF"/>
            </w:r>
          </w:p>
        </w:tc>
        <w:tc>
          <w:tcPr>
            <w:tcW w:w="602" w:type="pct"/>
            <w:vAlign w:val="center"/>
          </w:tcPr>
          <w:p w14:paraId="73D0C7A9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Apoptosis (microglial, neuronal)</w:t>
            </w:r>
          </w:p>
        </w:tc>
        <w:tc>
          <w:tcPr>
            <w:tcW w:w="618" w:type="pct"/>
            <w:vAlign w:val="center"/>
          </w:tcPr>
          <w:p w14:paraId="2B88A471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i/>
                <w:iCs/>
                <w:sz w:val="20"/>
                <w:szCs w:val="16"/>
              </w:rPr>
              <w:t>In vitro</w:t>
            </w:r>
            <w:r w:rsidRPr="00953F4B">
              <w:rPr>
                <w:sz w:val="20"/>
                <w:szCs w:val="16"/>
              </w:rPr>
              <w:t xml:space="preserve"> (SH</w:t>
            </w:r>
            <w:r w:rsidRPr="00953F4B">
              <w:rPr>
                <w:sz w:val="20"/>
                <w:szCs w:val="16"/>
              </w:rPr>
              <w:noBreakHyphen/>
              <w:t>SY5Y)</w:t>
            </w:r>
          </w:p>
        </w:tc>
        <w:tc>
          <w:tcPr>
            <w:tcW w:w="975" w:type="pct"/>
            <w:vAlign w:val="center"/>
          </w:tcPr>
          <w:p w14:paraId="34195B3E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Common</w:t>
            </w:r>
            <w:r w:rsidRPr="00953F4B">
              <w:rPr>
                <w:sz w:val="20"/>
                <w:szCs w:val="16"/>
              </w:rPr>
              <w:t xml:space="preserve">: oxidative stress, ΔΨm </w:t>
            </w:r>
            <w:r w:rsidRPr="00953F4B">
              <w:rPr>
                <w:sz w:val="20"/>
                <w:szCs w:val="16"/>
              </w:rPr>
              <w:sym w:font="Symbol" w:char="F0AF"/>
            </w:r>
            <w:r w:rsidRPr="00953F4B">
              <w:rPr>
                <w:sz w:val="20"/>
                <w:szCs w:val="16"/>
              </w:rPr>
              <w:t>, respiratory inhibition, ATP decrease</w:t>
            </w:r>
            <w:r w:rsidRPr="00953F4B">
              <w:rPr>
                <w:sz w:val="20"/>
                <w:szCs w:val="16"/>
              </w:rPr>
              <w:br/>
            </w:r>
            <w:r w:rsidRPr="00953F4B">
              <w:rPr>
                <w:b/>
                <w:bCs/>
                <w:sz w:val="20"/>
                <w:szCs w:val="16"/>
              </w:rPr>
              <w:t>Specific</w:t>
            </w:r>
            <w:r w:rsidRPr="00953F4B">
              <w:rPr>
                <w:sz w:val="20"/>
                <w:szCs w:val="16"/>
              </w:rPr>
              <w:t>: dopaminergic neuron fragmentation; microglial transcriptional shift to pro</w:t>
            </w:r>
            <w:r w:rsidRPr="00953F4B">
              <w:rPr>
                <w:sz w:val="20"/>
                <w:szCs w:val="16"/>
              </w:rPr>
              <w:noBreakHyphen/>
              <w:t>apoptotic genes; ROS-JNK-mitochondria axis</w:t>
            </w:r>
          </w:p>
        </w:tc>
        <w:tc>
          <w:tcPr>
            <w:tcW w:w="610" w:type="pct"/>
            <w:vAlign w:val="center"/>
          </w:tcPr>
          <w:p w14:paraId="4BCE2B58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Neurotoxicity, potential neurodegeneration</w:t>
            </w:r>
          </w:p>
        </w:tc>
        <w:tc>
          <w:tcPr>
            <w:tcW w:w="549" w:type="pct"/>
            <w:vAlign w:val="center"/>
          </w:tcPr>
          <w:p w14:paraId="3F61B64C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[33], [68], [71]</w:t>
            </w:r>
          </w:p>
        </w:tc>
      </w:tr>
      <w:tr w:rsidR="00953F4B" w:rsidRPr="00953F4B" w14:paraId="563CEA0C" w14:textId="77777777" w:rsidTr="00953F4B">
        <w:trPr>
          <w:jc w:val="center"/>
        </w:trPr>
        <w:tc>
          <w:tcPr>
            <w:tcW w:w="366" w:type="pct"/>
            <w:tcBorders>
              <w:bottom w:val="single" w:sz="8" w:space="0" w:color="auto"/>
            </w:tcBorders>
            <w:vAlign w:val="center"/>
          </w:tcPr>
          <w:p w14:paraId="3A165EB9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Cardiovascular</w:t>
            </w:r>
          </w:p>
        </w:tc>
        <w:tc>
          <w:tcPr>
            <w:tcW w:w="488" w:type="pct"/>
            <w:tcBorders>
              <w:bottom w:val="single" w:sz="8" w:space="0" w:color="auto"/>
            </w:tcBorders>
            <w:vAlign w:val="center"/>
          </w:tcPr>
          <w:p w14:paraId="073CA425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PFOA; PFOS</w:t>
            </w:r>
          </w:p>
        </w:tc>
        <w:tc>
          <w:tcPr>
            <w:tcW w:w="792" w:type="pct"/>
            <w:tcBorders>
              <w:bottom w:val="single" w:sz="8" w:space="0" w:color="auto"/>
            </w:tcBorders>
            <w:vAlign w:val="center"/>
          </w:tcPr>
          <w:p w14:paraId="3C71D71D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 xml:space="preserve">ΔΨm </w:t>
            </w:r>
            <w:r w:rsidRPr="00953F4B">
              <w:rPr>
                <w:sz w:val="20"/>
                <w:szCs w:val="16"/>
              </w:rPr>
              <w:sym w:font="Symbol" w:char="F0AF"/>
            </w:r>
            <w:r w:rsidRPr="00953F4B">
              <w:rPr>
                <w:sz w:val="20"/>
                <w:szCs w:val="16"/>
              </w:rPr>
              <w:t xml:space="preserve">, ATP </w:t>
            </w:r>
            <w:r w:rsidRPr="00953F4B">
              <w:rPr>
                <w:sz w:val="20"/>
                <w:szCs w:val="16"/>
              </w:rPr>
              <w:sym w:font="Symbol" w:char="F0AF"/>
            </w:r>
            <w:r w:rsidRPr="00953F4B">
              <w:rPr>
                <w:sz w:val="20"/>
                <w:szCs w:val="16"/>
              </w:rPr>
              <w:t xml:space="preserve">, mtROS </w:t>
            </w:r>
            <w:r w:rsidRPr="00953F4B">
              <w:rPr>
                <w:sz w:val="20"/>
                <w:szCs w:val="16"/>
              </w:rPr>
              <w:sym w:font="Symbol" w:char="F0AD"/>
            </w:r>
            <w:r w:rsidRPr="00953F4B">
              <w:rPr>
                <w:sz w:val="20"/>
                <w:szCs w:val="16"/>
              </w:rPr>
              <w:t>, swelling, autophagosome accumulation, damaged mitophagy</w:t>
            </w:r>
          </w:p>
        </w:tc>
        <w:tc>
          <w:tcPr>
            <w:tcW w:w="602" w:type="pct"/>
            <w:tcBorders>
              <w:bottom w:val="single" w:sz="8" w:space="0" w:color="auto"/>
            </w:tcBorders>
            <w:vAlign w:val="center"/>
          </w:tcPr>
          <w:p w14:paraId="76564BCC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Apoptosis</w:t>
            </w:r>
          </w:p>
        </w:tc>
        <w:tc>
          <w:tcPr>
            <w:tcW w:w="618" w:type="pct"/>
            <w:tcBorders>
              <w:bottom w:val="single" w:sz="8" w:space="0" w:color="auto"/>
            </w:tcBorders>
            <w:vAlign w:val="center"/>
          </w:tcPr>
          <w:p w14:paraId="67A6D043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i/>
                <w:iCs/>
                <w:sz w:val="20"/>
                <w:szCs w:val="16"/>
              </w:rPr>
              <w:t>In vitro</w:t>
            </w:r>
            <w:r w:rsidRPr="00953F4B">
              <w:rPr>
                <w:sz w:val="20"/>
                <w:szCs w:val="16"/>
              </w:rPr>
              <w:t xml:space="preserve"> (</w:t>
            </w:r>
            <w:r w:rsidRPr="00953F4B">
              <w:rPr>
                <w:bCs/>
                <w:sz w:val="20"/>
                <w:szCs w:val="16"/>
              </w:rPr>
              <w:t>HAC15 cells and human embryonic stem cells</w:t>
            </w:r>
            <w:r w:rsidRPr="00953F4B">
              <w:rPr>
                <w:sz w:val="20"/>
                <w:szCs w:val="16"/>
              </w:rPr>
              <w:t>)</w:t>
            </w:r>
          </w:p>
        </w:tc>
        <w:tc>
          <w:tcPr>
            <w:tcW w:w="975" w:type="pct"/>
            <w:tcBorders>
              <w:bottom w:val="single" w:sz="8" w:space="0" w:color="auto"/>
            </w:tcBorders>
            <w:vAlign w:val="center"/>
          </w:tcPr>
          <w:p w14:paraId="05907DA0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b/>
                <w:bCs/>
                <w:sz w:val="20"/>
                <w:szCs w:val="16"/>
              </w:rPr>
              <w:t>Common</w:t>
            </w:r>
            <w:r w:rsidRPr="00953F4B">
              <w:rPr>
                <w:sz w:val="20"/>
                <w:szCs w:val="16"/>
              </w:rPr>
              <w:t>: oxidative stress, ΔΨm/ATP loss, apoptosis</w:t>
            </w:r>
            <w:r w:rsidRPr="00953F4B">
              <w:rPr>
                <w:sz w:val="20"/>
                <w:szCs w:val="16"/>
              </w:rPr>
              <w:br/>
            </w:r>
            <w:r w:rsidRPr="00953F4B">
              <w:rPr>
                <w:b/>
                <w:bCs/>
                <w:sz w:val="20"/>
                <w:szCs w:val="16"/>
              </w:rPr>
              <w:t>Specific</w:t>
            </w:r>
            <w:r w:rsidRPr="00953F4B">
              <w:rPr>
                <w:sz w:val="20"/>
                <w:szCs w:val="16"/>
              </w:rPr>
              <w:t xml:space="preserve">: GPX4 </w:t>
            </w:r>
            <w:r w:rsidRPr="00953F4B">
              <w:rPr>
                <w:sz w:val="20"/>
                <w:szCs w:val="16"/>
              </w:rPr>
              <w:sym w:font="Symbol" w:char="F0AF"/>
            </w:r>
            <w:r w:rsidRPr="00953F4B">
              <w:rPr>
                <w:sz w:val="20"/>
                <w:szCs w:val="16"/>
              </w:rPr>
              <w:t xml:space="preserve"> </w:t>
            </w:r>
            <w:r w:rsidRPr="00953F4B">
              <w:rPr>
                <w:sz w:val="20"/>
                <w:szCs w:val="16"/>
              </w:rPr>
              <w:sym w:font="Symbol" w:char="F0AE"/>
            </w:r>
            <w:r w:rsidRPr="00953F4B">
              <w:rPr>
                <w:sz w:val="20"/>
                <w:szCs w:val="16"/>
              </w:rPr>
              <w:t xml:space="preserve"> lipid-ROS (endothelial); mtROS </w:t>
            </w:r>
            <w:r w:rsidRPr="00953F4B">
              <w:rPr>
                <w:sz w:val="20"/>
                <w:szCs w:val="16"/>
              </w:rPr>
              <w:sym w:font="Symbol" w:char="F0AE"/>
            </w:r>
            <w:r w:rsidRPr="00953F4B">
              <w:rPr>
                <w:sz w:val="20"/>
                <w:szCs w:val="16"/>
              </w:rPr>
              <w:t xml:space="preserve"> aldosterone </w:t>
            </w:r>
            <w:r w:rsidRPr="00953F4B">
              <w:rPr>
                <w:sz w:val="20"/>
                <w:szCs w:val="16"/>
              </w:rPr>
              <w:sym w:font="Symbol" w:char="F0AD"/>
            </w:r>
            <w:r w:rsidRPr="00953F4B">
              <w:rPr>
                <w:sz w:val="20"/>
                <w:szCs w:val="16"/>
              </w:rPr>
              <w:t xml:space="preserve"> (adrenal)</w:t>
            </w:r>
          </w:p>
        </w:tc>
        <w:tc>
          <w:tcPr>
            <w:tcW w:w="610" w:type="pct"/>
            <w:tcBorders>
              <w:bottom w:val="single" w:sz="8" w:space="0" w:color="auto"/>
            </w:tcBorders>
            <w:vAlign w:val="center"/>
          </w:tcPr>
          <w:p w14:paraId="13300A17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Endothelial dysfunction, hypertension</w:t>
            </w:r>
          </w:p>
        </w:tc>
        <w:tc>
          <w:tcPr>
            <w:tcW w:w="549" w:type="pct"/>
            <w:tcBorders>
              <w:bottom w:val="single" w:sz="8" w:space="0" w:color="auto"/>
            </w:tcBorders>
            <w:vAlign w:val="center"/>
          </w:tcPr>
          <w:p w14:paraId="34FFD937" w14:textId="77777777" w:rsidR="00953F4B" w:rsidRPr="00953F4B" w:rsidRDefault="00953F4B" w:rsidP="00953F4B">
            <w:pPr>
              <w:autoSpaceDE w:val="0"/>
              <w:autoSpaceDN w:val="0"/>
              <w:spacing w:line="240" w:lineRule="auto"/>
              <w:jc w:val="center"/>
              <w:rPr>
                <w:rFonts w:eastAsia="等线"/>
                <w:sz w:val="20"/>
                <w:szCs w:val="16"/>
              </w:rPr>
            </w:pPr>
            <w:r w:rsidRPr="00953F4B">
              <w:rPr>
                <w:sz w:val="20"/>
                <w:szCs w:val="16"/>
              </w:rPr>
              <w:t>[74], [75], [76]</w:t>
            </w:r>
          </w:p>
        </w:tc>
      </w:tr>
    </w:tbl>
    <w:p w14:paraId="79EBAABE" w14:textId="559A851F" w:rsidR="00953F4B" w:rsidRPr="00953F4B" w:rsidRDefault="00953F4B" w:rsidP="00953F4B">
      <w:pPr>
        <w:spacing w:after="60"/>
        <w:ind w:firstLine="425"/>
        <w:jc w:val="left"/>
        <w:rPr>
          <w:rFonts w:eastAsia="等线"/>
          <w:szCs w:val="22"/>
        </w:rPr>
      </w:pPr>
      <w:r w:rsidRPr="00953F4B">
        <w:rPr>
          <w:rFonts w:eastAsia="等线"/>
          <w:b/>
          <w:bCs/>
          <w:szCs w:val="22"/>
        </w:rPr>
        <w:t>Note:</w:t>
      </w:r>
      <w:r w:rsidRPr="00953F4B">
        <w:rPr>
          <w:szCs w:val="22"/>
        </w:rPr>
        <w:t xml:space="preserve"> Direct ranking of organ sensitivity is currently not feasible because exposure conditions, PFAS congeners, experimental models, and mitochondrial endpoints differ substantially across studies. PFOS, Perfluorooctane sulfonic acid; PFOA, Perfluorooctanoic acid; PFAS, Per- and polyfluoroalkyl substances; ROS, Reactive oxygen species; ΔΨm, Mitochondrial Membrane Potential; Ca</w:t>
      </w:r>
      <w:r w:rsidRPr="00953F4B">
        <w:rPr>
          <w:szCs w:val="22"/>
          <w:vertAlign w:val="superscript"/>
        </w:rPr>
        <w:t>2+</w:t>
      </w:r>
      <w:r w:rsidRPr="00953F4B">
        <w:rPr>
          <w:szCs w:val="22"/>
        </w:rPr>
        <w:t xml:space="preserve">, Calcium ion; GCs, </w:t>
      </w:r>
      <w:r w:rsidRPr="00953F4B">
        <w:rPr>
          <w:bCs/>
          <w:szCs w:val="22"/>
        </w:rPr>
        <w:t>Granulosa cells;</w:t>
      </w:r>
      <w:r w:rsidRPr="00953F4B">
        <w:rPr>
          <w:b/>
          <w:bCs/>
          <w:szCs w:val="22"/>
        </w:rPr>
        <w:t xml:space="preserve"> </w:t>
      </w:r>
      <w:r w:rsidRPr="00953F4B">
        <w:rPr>
          <w:rFonts w:eastAsia="等线"/>
          <w:bCs/>
          <w:szCs w:val="22"/>
        </w:rPr>
        <w:t xml:space="preserve">mtROS, Mitochondrial reactive oxygen species; mPTP, </w:t>
      </w:r>
      <w:r w:rsidRPr="00953F4B">
        <w:rPr>
          <w:bCs/>
          <w:szCs w:val="22"/>
        </w:rPr>
        <w:t>Mitochondrial permeability-transition pore; mtDNA, Mitochondrial DNA; ATP, Adenosine triphosphate.</w:t>
      </w:r>
    </w:p>
    <w:sectPr w:rsidR="00953F4B" w:rsidRPr="00953F4B" w:rsidSect="00953F4B">
      <w:headerReference w:type="even" r:id="rId7"/>
      <w:headerReference w:type="default" r:id="rId8"/>
      <w:headerReference w:type="first" r:id="rId9"/>
      <w:footerReference w:type="first" r:id="rId10"/>
      <w:pgSz w:w="12242" w:h="15842" w:code="1"/>
      <w:pgMar w:top="1440" w:right="1440" w:bottom="1440" w:left="1440" w:header="680" w:footer="794" w:gutter="0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21455" w14:textId="77777777" w:rsidR="00482EDA" w:rsidRDefault="00482EDA" w:rsidP="00953F4B">
      <w:pPr>
        <w:spacing w:line="240" w:lineRule="auto"/>
      </w:pPr>
      <w:r>
        <w:separator/>
      </w:r>
    </w:p>
  </w:endnote>
  <w:endnote w:type="continuationSeparator" w:id="0">
    <w:p w14:paraId="5040CD68" w14:textId="77777777" w:rsidR="00482EDA" w:rsidRDefault="00482EDA" w:rsidP="00953F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1A8E5" w14:textId="77777777" w:rsidR="00953F4B" w:rsidRPr="007F1650" w:rsidRDefault="00953F4B" w:rsidP="00CB0985">
    <w:pPr>
      <w:pStyle w:val="TSP72Copyright"/>
      <w:rPr>
        <w:sz w:val="16"/>
        <w:szCs w:val="16"/>
      </w:rPr>
    </w:pPr>
    <w:r w:rsidRPr="007F1650">
      <w:rPr>
        <w:sz w:val="16"/>
        <w:szCs w:val="16"/>
        <w:lang w:bidi="en-US"/>
      </w:rPr>
      <w:t>Copyright © 202</w:t>
    </w:r>
    <w:r w:rsidRPr="007F1650">
      <w:rPr>
        <w:rFonts w:eastAsiaTheme="minorEastAsia" w:hint="eastAsia"/>
        <w:sz w:val="16"/>
        <w:szCs w:val="16"/>
        <w:lang w:eastAsia="zh-CN" w:bidi="en-US"/>
      </w:rPr>
      <w:t>6</w:t>
    </w:r>
    <w:r w:rsidRPr="007F1650">
      <w:rPr>
        <w:sz w:val="16"/>
        <w:szCs w:val="16"/>
        <w:lang w:bidi="en-US"/>
      </w:rPr>
      <w:t xml:space="preserve"> The Author(s). Published by Tech Science Press.</w:t>
    </w:r>
    <w:r w:rsidRPr="007F1650">
      <w:rPr>
        <w:rFonts w:eastAsiaTheme="minorEastAsia" w:hint="eastAsia"/>
        <w:sz w:val="16"/>
        <w:szCs w:val="16"/>
        <w:lang w:eastAsia="zh-CN" w:bidi="en-US"/>
      </w:rPr>
      <w:t xml:space="preserve"> </w:t>
    </w:r>
    <w:r w:rsidRPr="007F1650">
      <w:rPr>
        <w:sz w:val="16"/>
        <w:szCs w:val="16"/>
        <w:lang w:bidi="en-US"/>
      </w:rPr>
      <w:t>This work is licensed under a Creative Commons Attribution 4.0 International License, which permits unrestricted use, distribution, and reproduction in any medium, provided the original work is properly cited.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52347" w14:textId="77777777" w:rsidR="00482EDA" w:rsidRDefault="00482EDA" w:rsidP="00953F4B">
      <w:pPr>
        <w:spacing w:line="240" w:lineRule="auto"/>
      </w:pPr>
      <w:r>
        <w:separator/>
      </w:r>
    </w:p>
  </w:footnote>
  <w:footnote w:type="continuationSeparator" w:id="0">
    <w:p w14:paraId="06D8BA25" w14:textId="77777777" w:rsidR="00482EDA" w:rsidRDefault="00482EDA" w:rsidP="00953F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05433" w14:textId="77777777" w:rsidR="00953F4B" w:rsidRDefault="00953F4B" w:rsidP="00542D48">
    <w:pPr>
      <w:pStyle w:val="TSPheader"/>
    </w:pP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t>2</w:t>
    </w:r>
    <w:r w:rsidRPr="00661AA8">
      <w:fldChar w:fldCharType="end"/>
    </w:r>
    <w:r>
      <w:ptab w:relativeTo="margin" w:alignment="right" w:leader="none"/>
    </w:r>
    <w:proofErr w:type="spellStart"/>
    <w:r>
      <w:rPr>
        <w:lang w:eastAsia="zh-CN"/>
      </w:rPr>
      <w:t>Biocell</w:t>
    </w:r>
    <w:proofErr w:type="spellEnd"/>
    <w:r>
      <w:t>.</w:t>
    </w:r>
    <w:r w:rsidRPr="00900A21">
      <w:t xml:space="preserve"> </w:t>
    </w:r>
    <w:proofErr w:type="gramStart"/>
    <w:r w:rsidRPr="00900A21">
      <w:t>202</w:t>
    </w:r>
    <w:r>
      <w:rPr>
        <w:rFonts w:eastAsiaTheme="minorEastAsia" w:hint="eastAsia"/>
        <w:lang w:eastAsia="zh-CN"/>
      </w:rPr>
      <w:t>6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</w:t>
    </w:r>
    <w:proofErr w:type="gramStart"/>
    <w:r>
      <w:t>):article</w:t>
    </w:r>
    <w:proofErr w:type="gramEnd"/>
    <w:r>
      <w:t xml:space="preserve"> number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1BFE1" w14:textId="77777777" w:rsidR="00953F4B" w:rsidRPr="00661AA8" w:rsidRDefault="00953F4B" w:rsidP="00542D48">
    <w:pPr>
      <w:pStyle w:val="TSPheader"/>
    </w:pPr>
    <w:proofErr w:type="spellStart"/>
    <w:r>
      <w:rPr>
        <w:lang w:eastAsia="zh-CN"/>
      </w:rPr>
      <w:t>Biocell</w:t>
    </w:r>
    <w:proofErr w:type="spellEnd"/>
    <w:r>
      <w:t>.</w:t>
    </w:r>
    <w:r w:rsidRPr="00900A21">
      <w:t xml:space="preserve"> </w:t>
    </w:r>
    <w:proofErr w:type="gramStart"/>
    <w:r w:rsidRPr="00900A21">
      <w:t>202</w:t>
    </w:r>
    <w:r>
      <w:rPr>
        <w:rFonts w:eastAsiaTheme="minorEastAsia" w:hint="eastAsia"/>
        <w:lang w:eastAsia="zh-CN"/>
      </w:rPr>
      <w:t>6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</w:t>
    </w:r>
    <w:proofErr w:type="gramStart"/>
    <w:r>
      <w:t>):article</w:t>
    </w:r>
    <w:proofErr w:type="gramEnd"/>
    <w:r>
      <w:t xml:space="preserve"> number</w:t>
    </w:r>
    <w:r>
      <w:ptab w:relativeTo="margin" w:alignment="right" w:leader="none"/>
    </w: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t>3</w:t>
    </w:r>
    <w:r w:rsidRPr="00661AA8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80" w:rightFromText="180" w:vertAnchor="text" w:tblpY="1"/>
      <w:tblOverlap w:val="never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387"/>
      <w:gridCol w:w="2750"/>
      <w:gridCol w:w="3224"/>
    </w:tblGrid>
    <w:tr w:rsidR="00953F4B" w14:paraId="20B5A57C" w14:textId="77777777" w:rsidTr="00CB0985">
      <w:trPr>
        <w:cantSplit/>
        <w:trHeight w:hRule="exact" w:val="652"/>
      </w:trPr>
      <w:tc>
        <w:tcPr>
          <w:tcW w:w="3591" w:type="dxa"/>
          <w:vAlign w:val="center"/>
        </w:tcPr>
        <w:p w14:paraId="6BC06A7A" w14:textId="77777777" w:rsidR="00953F4B" w:rsidRDefault="00953F4B" w:rsidP="00C34E4B">
          <w:pPr>
            <w:pStyle w:val="TSPheaderjournallogo"/>
          </w:pPr>
          <w:r>
            <w:rPr>
              <w:noProof/>
            </w:rPr>
            <w:drawing>
              <wp:inline distT="0" distB="0" distL="0" distR="0" wp14:anchorId="7EA2F671" wp14:editId="4CD53A4C">
                <wp:extent cx="1729211" cy="414000"/>
                <wp:effectExtent l="0" t="0" r="0" b="5715"/>
                <wp:docPr id="120189295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9211" cy="41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1" w:type="dxa"/>
          <w:vAlign w:val="center"/>
        </w:tcPr>
        <w:p w14:paraId="4FC1ADF9" w14:textId="77777777" w:rsidR="00953F4B" w:rsidRDefault="00953F4B" w:rsidP="00776E78">
          <w:pPr>
            <w:jc w:val="center"/>
          </w:pPr>
        </w:p>
      </w:tc>
      <w:tc>
        <w:tcPr>
          <w:tcW w:w="3591" w:type="dxa"/>
          <w:vAlign w:val="center"/>
        </w:tcPr>
        <w:p w14:paraId="543C19C6" w14:textId="77777777" w:rsidR="00953F4B" w:rsidRDefault="00953F4B" w:rsidP="00C34E4B">
          <w:pPr>
            <w:pStyle w:val="TSPheadertsplogo"/>
          </w:pPr>
          <w:r>
            <w:rPr>
              <w:noProof/>
            </w:rPr>
            <w:drawing>
              <wp:inline distT="0" distB="0" distL="0" distR="0" wp14:anchorId="2B2A6016" wp14:editId="13B4E3BE">
                <wp:extent cx="1287780" cy="188337"/>
                <wp:effectExtent l="0" t="0" r="0" b="2540"/>
                <wp:docPr id="1653046360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8174370" name="图片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780" cy="1883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39A56BE" w14:textId="77777777" w:rsidR="00953F4B" w:rsidRPr="00776E78" w:rsidRDefault="00953F4B" w:rsidP="00F2126F">
    <w:pPr>
      <w:pStyle w:val="Header"/>
      <w:spacing w:line="80" w:lineRule="exac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5B9"/>
    <w:rsid w:val="000C1CDB"/>
    <w:rsid w:val="00167D48"/>
    <w:rsid w:val="001E4BAA"/>
    <w:rsid w:val="002676F7"/>
    <w:rsid w:val="00315C91"/>
    <w:rsid w:val="003E15B9"/>
    <w:rsid w:val="00425DE1"/>
    <w:rsid w:val="0042613F"/>
    <w:rsid w:val="00482EDA"/>
    <w:rsid w:val="005258B8"/>
    <w:rsid w:val="00566E9B"/>
    <w:rsid w:val="005C0944"/>
    <w:rsid w:val="00714041"/>
    <w:rsid w:val="007327FE"/>
    <w:rsid w:val="007D2656"/>
    <w:rsid w:val="008A305C"/>
    <w:rsid w:val="00937749"/>
    <w:rsid w:val="00952D5C"/>
    <w:rsid w:val="00953F4B"/>
    <w:rsid w:val="009D55B9"/>
    <w:rsid w:val="00A41DBB"/>
    <w:rsid w:val="00C1536A"/>
    <w:rsid w:val="00D14399"/>
    <w:rsid w:val="00D25790"/>
    <w:rsid w:val="00D30F0B"/>
    <w:rsid w:val="00DE58B5"/>
    <w:rsid w:val="00E27FBD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FD2F7C5A-A72A-4EED-A258-9747E2964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  <w:style w:type="table" w:customStyle="1" w:styleId="1">
    <w:name w:val="三线表1"/>
    <w:basedOn w:val="TableNormal"/>
    <w:uiPriority w:val="99"/>
    <w:rsid w:val="00953F4B"/>
    <w:pPr>
      <w:spacing w:after="0" w:line="360" w:lineRule="auto"/>
    </w:pPr>
    <w:rPr>
      <w:rFonts w:eastAsia="Times New Roman"/>
      <w:szCs w:val="22"/>
      <w14:ligatures w14:val="none"/>
    </w:rPr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">
    <w:name w:val="三线表2"/>
    <w:basedOn w:val="TableNormal"/>
    <w:uiPriority w:val="99"/>
    <w:rsid w:val="00953F4B"/>
    <w:pPr>
      <w:spacing w:after="0" w:line="360" w:lineRule="auto"/>
    </w:pPr>
    <w:rPr>
      <w:rFonts w:eastAsia="Times New Roman"/>
      <w:szCs w:val="22"/>
      <w14:ligatures w14:val="none"/>
    </w:rPr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3559</Characters>
  <Application>Microsoft Office Word</Application>
  <DocSecurity>0</DocSecurity>
  <Lines>29</Lines>
  <Paragraphs>8</Paragraphs>
  <ScaleCrop>false</ScaleCrop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3</cp:revision>
  <dcterms:created xsi:type="dcterms:W3CDTF">2026-06-26T02:49:00Z</dcterms:created>
  <dcterms:modified xsi:type="dcterms:W3CDTF">2026-07-06T02:06:00Z</dcterms:modified>
</cp:coreProperties>
</file>