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9B705" w14:textId="77777777" w:rsidR="00CD14F0" w:rsidRPr="009F03A0" w:rsidRDefault="00CD14F0" w:rsidP="00CD14F0">
      <w:pPr>
        <w:pStyle w:val="TSP41tablecaption"/>
        <w:jc w:val="center"/>
        <w:rPr>
          <w:w w:val="105"/>
        </w:rPr>
      </w:pPr>
      <w:r w:rsidRPr="009F03A0">
        <w:rPr>
          <w:b/>
          <w:w w:val="105"/>
        </w:rPr>
        <w:t>Table S1:</w:t>
      </w:r>
      <w:r w:rsidRPr="009F03A0">
        <w:rPr>
          <w:w w:val="105"/>
        </w:rPr>
        <w:t xml:space="preserve"> NCT–signaling crosstalk driving therapy resistance.</w:t>
      </w:r>
    </w:p>
    <w:tbl>
      <w:tblPr>
        <w:tblW w:w="936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9"/>
        <w:gridCol w:w="1973"/>
        <w:gridCol w:w="2089"/>
        <w:gridCol w:w="1278"/>
        <w:gridCol w:w="1944"/>
        <w:gridCol w:w="647"/>
      </w:tblGrid>
      <w:tr w:rsidR="00CD14F0" w:rsidRPr="009F03A0" w14:paraId="009E994C" w14:textId="77777777" w:rsidTr="009F03A0">
        <w:trPr>
          <w:jc w:val="center"/>
        </w:trPr>
        <w:tc>
          <w:tcPr>
            <w:tcW w:w="1305" w:type="dxa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34EFBB4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b/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b/>
                <w:color w:val="000000" w:themeColor="text1"/>
                <w:w w:val="105"/>
                <w:sz w:val="20"/>
                <w:szCs w:val="22"/>
              </w:rPr>
              <w:t>Signaling pathway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81B0DC5" w14:textId="69618614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b/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b/>
                <w:color w:val="000000" w:themeColor="text1"/>
                <w:w w:val="105"/>
                <w:sz w:val="20"/>
                <w:szCs w:val="22"/>
              </w:rPr>
              <w:t xml:space="preserve">Key </w:t>
            </w:r>
            <w:r w:rsidR="00DA403E" w:rsidRPr="009F03A0">
              <w:rPr>
                <w:b/>
                <w:color w:val="000000" w:themeColor="text1"/>
                <w:w w:val="105"/>
                <w:sz w:val="20"/>
                <w:szCs w:val="22"/>
              </w:rPr>
              <w:t xml:space="preserve">Factor </w:t>
            </w:r>
            <w:r w:rsidRPr="009F03A0">
              <w:rPr>
                <w:b/>
                <w:color w:val="000000" w:themeColor="text1"/>
                <w:w w:val="105"/>
                <w:sz w:val="20"/>
                <w:szCs w:val="22"/>
              </w:rPr>
              <w:t xml:space="preserve">&amp; </w:t>
            </w:r>
            <w:r w:rsidR="00DA403E" w:rsidRPr="009F03A0">
              <w:rPr>
                <w:b/>
                <w:color w:val="000000" w:themeColor="text1"/>
                <w:w w:val="105"/>
                <w:sz w:val="20"/>
                <w:szCs w:val="22"/>
              </w:rPr>
              <w:t>Modification</w:t>
            </w:r>
          </w:p>
        </w:tc>
        <w:tc>
          <w:tcPr>
            <w:tcW w:w="1909" w:type="dxa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0EC0F30" w14:textId="048865F4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b/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b/>
                <w:color w:val="000000" w:themeColor="text1"/>
                <w:w w:val="105"/>
                <w:sz w:val="20"/>
                <w:szCs w:val="22"/>
              </w:rPr>
              <w:t xml:space="preserve">NCT </w:t>
            </w:r>
            <w:r w:rsidR="00DA403E" w:rsidRPr="009F03A0">
              <w:rPr>
                <w:b/>
                <w:color w:val="000000" w:themeColor="text1"/>
                <w:w w:val="105"/>
                <w:sz w:val="20"/>
                <w:szCs w:val="22"/>
              </w:rPr>
              <w:t>Alteration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B0F8F5D" w14:textId="6A7A9D44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b/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b/>
                <w:color w:val="000000" w:themeColor="text1"/>
                <w:w w:val="105"/>
                <w:sz w:val="20"/>
                <w:szCs w:val="22"/>
              </w:rPr>
              <w:t xml:space="preserve">Cancer </w:t>
            </w:r>
            <w:r w:rsidR="00DA403E" w:rsidRPr="009F03A0">
              <w:rPr>
                <w:b/>
                <w:color w:val="000000" w:themeColor="text1"/>
                <w:w w:val="105"/>
                <w:sz w:val="20"/>
                <w:szCs w:val="22"/>
              </w:rPr>
              <w:t>Context</w:t>
            </w:r>
          </w:p>
        </w:tc>
        <w:tc>
          <w:tcPr>
            <w:tcW w:w="1776" w:type="dxa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EFB9DFA" w14:textId="48CD0208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b/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b/>
                <w:color w:val="000000" w:themeColor="text1"/>
                <w:w w:val="105"/>
                <w:sz w:val="20"/>
                <w:szCs w:val="22"/>
              </w:rPr>
              <w:t xml:space="preserve">Drug </w:t>
            </w:r>
            <w:r w:rsidR="00DA403E" w:rsidRPr="009F03A0">
              <w:rPr>
                <w:b/>
                <w:color w:val="000000" w:themeColor="text1"/>
                <w:w w:val="105"/>
                <w:sz w:val="20"/>
                <w:szCs w:val="22"/>
              </w:rPr>
              <w:t>Resistance Phenotype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5E86CB1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b/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b/>
                <w:color w:val="000000" w:themeColor="text1"/>
                <w:w w:val="105"/>
                <w:sz w:val="20"/>
                <w:szCs w:val="22"/>
              </w:rPr>
              <w:t>Ref.</w:t>
            </w:r>
          </w:p>
        </w:tc>
      </w:tr>
      <w:tr w:rsidR="00CD14F0" w:rsidRPr="009F03A0" w14:paraId="00F2049D" w14:textId="77777777" w:rsidTr="009F03A0">
        <w:trPr>
          <w:jc w:val="center"/>
        </w:trPr>
        <w:tc>
          <w:tcPr>
            <w:tcW w:w="13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6BA7AA" w14:textId="099B7B1C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Innate immunity/JAK–STAT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0C014C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TLR3 (Ser155, JAK1 phosphorylation)</w:t>
            </w:r>
          </w:p>
        </w:tc>
        <w:tc>
          <w:tcPr>
            <w:tcW w:w="19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9A8C10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Importin-α5–mediated nuclear import; complex with PRMT5/c-</w:t>
            </w:r>
            <w:proofErr w:type="spellStart"/>
            <w:r w:rsidRPr="009F03A0">
              <w:rPr>
                <w:color w:val="000000" w:themeColor="text1"/>
                <w:w w:val="105"/>
                <w:sz w:val="20"/>
                <w:szCs w:val="22"/>
              </w:rPr>
              <w:t>Myc</w:t>
            </w:r>
            <w:proofErr w:type="spellEnd"/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FC1847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Pancreatic cancer</w:t>
            </w:r>
          </w:p>
        </w:tc>
        <w:tc>
          <w:tcPr>
            <w:tcW w:w="17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3C4D29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Chemoresistance (cytotoxic agents)</w:t>
            </w:r>
          </w:p>
        </w:tc>
        <w:tc>
          <w:tcPr>
            <w:tcW w:w="59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68F0FE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  <w:lang w:eastAsia="zh-CN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[</w:t>
            </w:r>
            <w:r w:rsidRPr="009F03A0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67</w:t>
            </w:r>
            <w:r w:rsidRPr="009F03A0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]</w:t>
            </w:r>
          </w:p>
        </w:tc>
      </w:tr>
      <w:tr w:rsidR="00CD14F0" w:rsidRPr="009F03A0" w14:paraId="26E91F50" w14:textId="77777777" w:rsidTr="009F03A0">
        <w:trPr>
          <w:jc w:val="center"/>
        </w:trPr>
        <w:tc>
          <w:tcPr>
            <w:tcW w:w="130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A7A152" w14:textId="0CE16DB4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WNT/β-catenin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E4C006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KIAA1429 (BRAF phosphorylation)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A78770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Cytoplasmic retention; FZD7 stabilization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03A4AF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Colorectal cancer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2D1B4F9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Oxaliplatin resistance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218A7C6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  <w:lang w:eastAsia="zh-CN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[</w:t>
            </w:r>
            <w:r w:rsidRPr="009F03A0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65</w:t>
            </w:r>
            <w:r w:rsidRPr="009F03A0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]</w:t>
            </w:r>
          </w:p>
        </w:tc>
      </w:tr>
      <w:tr w:rsidR="00CD14F0" w:rsidRPr="009F03A0" w14:paraId="1F59957C" w14:textId="77777777" w:rsidTr="009F03A0">
        <w:trPr>
          <w:jc w:val="center"/>
        </w:trPr>
        <w:tc>
          <w:tcPr>
            <w:tcW w:w="13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3055F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D1E806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β-catenin (PAK2 phosphorylation)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BF1834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Nuclear accumulation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2105D8E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EGFR-mutant NSCLC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E1E22E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Osimertinib resistance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AEF77F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  <w:lang w:eastAsia="zh-CN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[</w:t>
            </w:r>
            <w:r w:rsidRPr="009F03A0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70</w:t>
            </w:r>
            <w:r w:rsidRPr="009F03A0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]</w:t>
            </w:r>
          </w:p>
        </w:tc>
      </w:tr>
      <w:tr w:rsidR="00CD14F0" w:rsidRPr="009F03A0" w14:paraId="489BA79A" w14:textId="77777777" w:rsidTr="009F03A0">
        <w:trPr>
          <w:jc w:val="center"/>
        </w:trPr>
        <w:tc>
          <w:tcPr>
            <w:tcW w:w="13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8816D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1A021A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β-catenin/GSK3β (SGK3 phosphorylation)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CF4835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β-catenin nuclear enrichment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11EBE6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HR+ breast cancer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93BDCF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PI3Kα inhibitor resistance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E56D37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  <w:lang w:eastAsia="zh-CN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[</w:t>
            </w:r>
            <w:r w:rsidRPr="009F03A0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72</w:t>
            </w:r>
            <w:r w:rsidRPr="009F03A0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]</w:t>
            </w:r>
          </w:p>
        </w:tc>
      </w:tr>
      <w:tr w:rsidR="00CD14F0" w:rsidRPr="009F03A0" w14:paraId="54BE6717" w14:textId="77777777" w:rsidTr="009F03A0">
        <w:trPr>
          <w:jc w:val="center"/>
        </w:trPr>
        <w:tc>
          <w:tcPr>
            <w:tcW w:w="130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79A9DF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NF-</w:t>
            </w:r>
            <w:proofErr w:type="spellStart"/>
            <w:r w:rsidRPr="009F03A0">
              <w:rPr>
                <w:color w:val="000000" w:themeColor="text1"/>
                <w:w w:val="105"/>
                <w:sz w:val="20"/>
                <w:szCs w:val="22"/>
              </w:rPr>
              <w:t>κB</w:t>
            </w:r>
            <w:proofErr w:type="spellEnd"/>
            <w:r w:rsidRPr="009F03A0">
              <w:rPr>
                <w:color w:val="000000" w:themeColor="text1"/>
                <w:w w:val="105"/>
                <w:sz w:val="20"/>
                <w:szCs w:val="22"/>
              </w:rPr>
              <w:t xml:space="preserve"> pathway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768B34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GCLM (Thr17, p38-MAPK phosphorylation)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2C736C2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Importin-α5–mediated nuclear import; ↑NKRF interaction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8CADC3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Colorectal cancer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2F2B9EE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Oxaliplatin resistance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D399C1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  <w:lang w:eastAsia="zh-CN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[</w:t>
            </w:r>
            <w:r w:rsidRPr="009F03A0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68</w:t>
            </w:r>
            <w:r w:rsidRPr="009F03A0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]</w:t>
            </w:r>
          </w:p>
        </w:tc>
      </w:tr>
      <w:tr w:rsidR="00CD14F0" w:rsidRPr="009F03A0" w14:paraId="198A5CF8" w14:textId="77777777" w:rsidTr="009F03A0">
        <w:trPr>
          <w:jc w:val="center"/>
        </w:trPr>
        <w:tc>
          <w:tcPr>
            <w:tcW w:w="13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5BF5D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0B1CBD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TRIM37 (PBK phosphorylation)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5A6337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Nuclear translocation; activates NF-</w:t>
            </w:r>
            <w:proofErr w:type="spellStart"/>
            <w:r w:rsidRPr="009F03A0">
              <w:rPr>
                <w:color w:val="000000" w:themeColor="text1"/>
                <w:w w:val="105"/>
                <w:sz w:val="20"/>
                <w:szCs w:val="22"/>
              </w:rPr>
              <w:t>κB</w:t>
            </w:r>
            <w:proofErr w:type="spellEnd"/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9D05AD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Ovarian cancer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EFAFBD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PARP inhibitor resistance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35C319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  <w:lang w:eastAsia="zh-CN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[</w:t>
            </w:r>
            <w:r w:rsidRPr="009F03A0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71</w:t>
            </w:r>
            <w:r w:rsidRPr="009F03A0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]</w:t>
            </w:r>
          </w:p>
        </w:tc>
      </w:tr>
      <w:tr w:rsidR="00CD14F0" w:rsidRPr="009F03A0" w14:paraId="3E574A38" w14:textId="77777777" w:rsidTr="009F03A0">
        <w:trPr>
          <w:jc w:val="center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1D4320" w14:textId="3A3DDFD2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Redox/antioxidant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A502D5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NRF2 (via TRIM25–Keap1 ubiquitination)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6A87EA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Nuclear retention of NRF2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ECCA04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Glioma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0EC329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Temozolomide resistance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61CF37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  <w:lang w:eastAsia="zh-CN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[</w:t>
            </w:r>
            <w:r w:rsidRPr="009F03A0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78</w:t>
            </w:r>
            <w:r w:rsidRPr="009F03A0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]</w:t>
            </w:r>
          </w:p>
        </w:tc>
      </w:tr>
      <w:tr w:rsidR="00CD14F0" w:rsidRPr="009F03A0" w14:paraId="19B2B740" w14:textId="77777777" w:rsidTr="009F03A0">
        <w:trPr>
          <w:jc w:val="center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C72CFF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ERK pathway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1606A2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RFNG; ERK-mediated phosphorylation at Ser255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094015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Phosphorylation initiates RFNG nuclear entry and suppresses p53 activity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2EC2730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Colorectal cancer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A85A2B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Oxaliplatin resistance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97F585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  <w:lang w:eastAsia="zh-CN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[</w:t>
            </w:r>
            <w:r w:rsidRPr="009F03A0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88</w:t>
            </w:r>
            <w:r w:rsidRPr="009F03A0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]</w:t>
            </w:r>
          </w:p>
        </w:tc>
      </w:tr>
      <w:tr w:rsidR="00CD14F0" w:rsidRPr="009F03A0" w14:paraId="1A999402" w14:textId="77777777" w:rsidTr="009F03A0">
        <w:trPr>
          <w:jc w:val="center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2CD41C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Hypoxia–Hippo/YAP crosstalk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D22969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HIF-1α–YAP cooperation under hypoxia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8B8913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Hypoxic stress promotes YAP nuclear entry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164EFB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Hypoxic tumor context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E0CC0D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Resistance to DNA damage–inducible apoptosis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00D288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  <w:lang w:eastAsia="zh-CN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[</w:t>
            </w:r>
            <w:r w:rsidRPr="009F03A0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95</w:t>
            </w:r>
            <w:r w:rsidRPr="009F03A0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]</w:t>
            </w:r>
          </w:p>
        </w:tc>
      </w:tr>
      <w:tr w:rsidR="00CD14F0" w:rsidRPr="009F03A0" w14:paraId="62369E6D" w14:textId="77777777" w:rsidTr="009F03A0">
        <w:trPr>
          <w:jc w:val="center"/>
        </w:trPr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10CFDA16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STAT3 pathway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10EE2ACD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STAT3; phosphorylation- and acetylation-dependent regulation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1BECC5C7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Post-translational modification controls STAT3 nucleocytoplasmic localization and nuclear activity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656C2BD2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Various cancers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01DA10E7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</w:rPr>
              <w:t>Therapy resistance and immune evasion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25C719D4" w14:textId="77777777" w:rsidR="00CD14F0" w:rsidRPr="009F03A0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  <w:lang w:eastAsia="zh-CN"/>
              </w:rPr>
            </w:pPr>
            <w:r w:rsidRPr="009F03A0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[</w:t>
            </w:r>
            <w:r w:rsidRPr="009F03A0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92</w:t>
            </w:r>
            <w:r w:rsidRPr="009F03A0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]</w:t>
            </w:r>
          </w:p>
        </w:tc>
      </w:tr>
    </w:tbl>
    <w:p w14:paraId="6468A638" w14:textId="77777777" w:rsidR="00CD14F0" w:rsidRDefault="00CD14F0" w:rsidP="00CD14F0">
      <w:pPr>
        <w:pStyle w:val="TSP43tablefooter"/>
        <w:rPr>
          <w:w w:val="105"/>
        </w:rPr>
      </w:pPr>
      <w:r>
        <w:rPr>
          <w:b/>
          <w:bCs/>
          <w:w w:val="105"/>
        </w:rPr>
        <w:t>Abbreviations:</w:t>
      </w:r>
      <w:r>
        <w:rPr>
          <w:w w:val="105"/>
        </w:rPr>
        <w:t xml:space="preserve"> NCT, nucleocytoplasmic trafficking; RFNG, RFNG O-</w:t>
      </w:r>
      <w:proofErr w:type="spellStart"/>
      <w:r>
        <w:rPr>
          <w:w w:val="105"/>
        </w:rPr>
        <w:t>fucosylpeptide</w:t>
      </w:r>
      <w:proofErr w:type="spellEnd"/>
      <w:r>
        <w:rPr>
          <w:w w:val="105"/>
        </w:rPr>
        <w:t xml:space="preserve"> 3-beta-N-acetylglucosaminyltransferase; PTM, post-translational modification; YAP, Yes-associated protein; TAZ, transcriptional coactivator with PDZ-binding motif; HIF-1α, hypoxia-inducible factor 1 alpha; STAT3, signal transducer and activator of transcription 3</w:t>
      </w:r>
      <w:r w:rsidRPr="009F03A0">
        <w:rPr>
          <w:w w:val="105"/>
        </w:rPr>
        <w:t>.</w:t>
      </w:r>
    </w:p>
    <w:p w14:paraId="1AF7855B" w14:textId="77777777" w:rsidR="00DA403E" w:rsidRDefault="00DA403E">
      <w:pPr>
        <w:adjustRightInd/>
        <w:snapToGrid/>
        <w:spacing w:line="240" w:lineRule="auto"/>
        <w:jc w:val="left"/>
        <w:rPr>
          <w:rFonts w:eastAsia="Times New Roman" w:cs="Cordia New"/>
          <w:b/>
          <w:noProof w:val="0"/>
          <w:w w:val="105"/>
          <w:sz w:val="20"/>
          <w:szCs w:val="22"/>
          <w:lang w:eastAsia="de-DE" w:bidi="en-US"/>
        </w:rPr>
      </w:pPr>
      <w:r>
        <w:rPr>
          <w:b/>
          <w:w w:val="105"/>
        </w:rPr>
        <w:br w:type="page"/>
      </w:r>
    </w:p>
    <w:p w14:paraId="0E723953" w14:textId="1B22A3ED" w:rsidR="00CD14F0" w:rsidRPr="00DA403E" w:rsidRDefault="00DA403E" w:rsidP="00DA403E">
      <w:pPr>
        <w:pStyle w:val="TSP41tablecaption"/>
        <w:rPr>
          <w:w w:val="105"/>
        </w:rPr>
      </w:pPr>
      <w:r w:rsidRPr="00DA403E">
        <w:rPr>
          <w:b/>
          <w:w w:val="105"/>
        </w:rPr>
        <w:lastRenderedPageBreak/>
        <w:t>Table S2:</w:t>
      </w:r>
      <w:r w:rsidRPr="00DA403E">
        <w:rPr>
          <w:w w:val="105"/>
        </w:rPr>
        <w:t xml:space="preserve"> </w:t>
      </w:r>
      <w:r w:rsidR="00CD14F0" w:rsidRPr="00DA403E">
        <w:rPr>
          <w:w w:val="105"/>
        </w:rPr>
        <w:t>Representative examples of NLS/NES mutations that alter protein localization and modulate anticancer drug responses</w:t>
      </w:r>
      <w:r w:rsidRPr="00DA403E">
        <w:rPr>
          <w:w w:val="105"/>
        </w:rPr>
        <w:t>.</w:t>
      </w:r>
    </w:p>
    <w:tbl>
      <w:tblPr>
        <w:tblW w:w="9360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6"/>
        <w:gridCol w:w="2276"/>
        <w:gridCol w:w="1986"/>
        <w:gridCol w:w="1252"/>
        <w:gridCol w:w="1616"/>
        <w:gridCol w:w="1104"/>
      </w:tblGrid>
      <w:tr w:rsidR="00CD14F0" w:rsidRPr="00DA403E" w14:paraId="0C5320C0" w14:textId="77777777" w:rsidTr="00DA403E">
        <w:trPr>
          <w:jc w:val="center"/>
        </w:trPr>
        <w:tc>
          <w:tcPr>
            <w:tcW w:w="601" w:type="pct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F0DD435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b/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b/>
                <w:color w:val="000000" w:themeColor="text1"/>
                <w:w w:val="105"/>
                <w:sz w:val="20"/>
                <w:szCs w:val="22"/>
              </w:rPr>
              <w:t>Protein</w:t>
            </w:r>
          </w:p>
        </w:tc>
        <w:tc>
          <w:tcPr>
            <w:tcW w:w="1216" w:type="pct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092D1CA" w14:textId="562A34B2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b/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b/>
                <w:color w:val="000000" w:themeColor="text1"/>
                <w:w w:val="105"/>
                <w:sz w:val="20"/>
                <w:szCs w:val="22"/>
              </w:rPr>
              <w:t>Mutation Type/Model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B8718BB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b/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b/>
                <w:color w:val="000000" w:themeColor="text1"/>
                <w:w w:val="105"/>
                <w:sz w:val="20"/>
                <w:szCs w:val="22"/>
              </w:rPr>
              <w:t>Effect on Localization</w:t>
            </w:r>
          </w:p>
        </w:tc>
        <w:tc>
          <w:tcPr>
            <w:tcW w:w="669" w:type="pct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8CCC2C9" w14:textId="73B293D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b/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b/>
                <w:color w:val="000000" w:themeColor="text1"/>
                <w:w w:val="105"/>
                <w:sz w:val="20"/>
                <w:szCs w:val="22"/>
              </w:rPr>
              <w:t>Drug Type/Context</w:t>
            </w:r>
          </w:p>
        </w:tc>
        <w:tc>
          <w:tcPr>
            <w:tcW w:w="863" w:type="pct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2594E72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b/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b/>
                <w:color w:val="000000" w:themeColor="text1"/>
                <w:w w:val="105"/>
                <w:sz w:val="20"/>
                <w:szCs w:val="22"/>
              </w:rPr>
              <w:t>Phenotypic Outcome (Drug Response)</w:t>
            </w:r>
          </w:p>
        </w:tc>
        <w:tc>
          <w:tcPr>
            <w:tcW w:w="590" w:type="pct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7233273" w14:textId="0A6D38A4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b/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b/>
                <w:color w:val="000000" w:themeColor="text1"/>
                <w:w w:val="105"/>
                <w:sz w:val="20"/>
                <w:szCs w:val="22"/>
              </w:rPr>
              <w:t>Reference (PMID/Source)</w:t>
            </w:r>
          </w:p>
        </w:tc>
      </w:tr>
      <w:tr w:rsidR="00CD14F0" w:rsidRPr="00DA403E" w14:paraId="63CCB26A" w14:textId="77777777" w:rsidTr="00DA403E">
        <w:trPr>
          <w:jc w:val="center"/>
        </w:trPr>
        <w:tc>
          <w:tcPr>
            <w:tcW w:w="60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1C175A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EGFR</w:t>
            </w:r>
          </w:p>
        </w:tc>
        <w:tc>
          <w:tcPr>
            <w:tcW w:w="121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B8BAFB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Hotspot NES mutations L747S / L747P (in patients and cell lines)</w:t>
            </w:r>
          </w:p>
        </w:tc>
        <w:tc>
          <w:tcPr>
            <w:tcW w:w="106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E9D639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Impaired nuclear export → nuclear accumulation of EGFR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CC148A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EGFR-TKIs (gefitinib, erlotinib, osimertinib)</w:t>
            </w:r>
          </w:p>
        </w:tc>
        <w:tc>
          <w:tcPr>
            <w:tcW w:w="863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3C9EB7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Decreased TKI sensitivity / acquired resistance</w:t>
            </w:r>
          </w:p>
        </w:tc>
        <w:tc>
          <w:tcPr>
            <w:tcW w:w="59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A1AF3D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  <w:lang w:eastAsia="zh-CN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[</w:t>
            </w:r>
            <w:r w:rsidRPr="00DA403E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96</w:t>
            </w:r>
            <w:r w:rsidRPr="00DA403E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]</w:t>
            </w:r>
          </w:p>
        </w:tc>
      </w:tr>
      <w:tr w:rsidR="00CD14F0" w:rsidRPr="00DA403E" w14:paraId="6FC6561B" w14:textId="77777777" w:rsidTr="00DA403E">
        <w:trPr>
          <w:jc w:val="center"/>
        </w:trPr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E584FE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Topoisomerase IIα (TOP2A)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2BE11D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C-terminal truncation eliminating tripartite NLS (H209/V6 and INER-37 models)</w:t>
            </w:r>
          </w:p>
        </w:tc>
        <w:tc>
          <w:tcPr>
            <w:tcW w:w="10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67CB08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Cytoplasmic retention of truncated Topo IIα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E4E646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Topo II inhibitors (VP-16, etoposide)</w:t>
            </w: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62C247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Distinct mechanism of drug resistance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3C3F622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  <w:lang w:eastAsia="zh-CN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[</w:t>
            </w:r>
            <w:r w:rsidRPr="00DA403E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97</w:t>
            </w:r>
            <w:r w:rsidRPr="00DA403E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]</w:t>
            </w:r>
          </w:p>
        </w:tc>
      </w:tr>
      <w:tr w:rsidR="00CD14F0" w:rsidRPr="00DA403E" w14:paraId="1BB08042" w14:textId="77777777" w:rsidTr="00DA403E">
        <w:trPr>
          <w:jc w:val="center"/>
        </w:trPr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E24F42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proofErr w:type="spellStart"/>
            <w:r w:rsidRPr="00DA403E">
              <w:rPr>
                <w:color w:val="000000" w:themeColor="text1"/>
                <w:w w:val="105"/>
                <w:sz w:val="20"/>
                <w:szCs w:val="22"/>
              </w:rPr>
              <w:t>Survivin</w:t>
            </w:r>
            <w:proofErr w:type="spellEnd"/>
            <w:r w:rsidRPr="00DA403E">
              <w:rPr>
                <w:color w:val="000000" w:themeColor="text1"/>
                <w:w w:val="105"/>
                <w:sz w:val="20"/>
                <w:szCs w:val="22"/>
              </w:rPr>
              <w:t xml:space="preserve"> (BIRC5)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075DC8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NES point mutation (disrupting CRM1 binding)</w:t>
            </w:r>
          </w:p>
        </w:tc>
        <w:tc>
          <w:tcPr>
            <w:tcW w:w="10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A5B472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 xml:space="preserve">Nuclear retention of </w:t>
            </w:r>
            <w:proofErr w:type="spellStart"/>
            <w:r w:rsidRPr="00DA403E">
              <w:rPr>
                <w:color w:val="000000" w:themeColor="text1"/>
                <w:w w:val="105"/>
                <w:sz w:val="20"/>
                <w:szCs w:val="22"/>
              </w:rPr>
              <w:t>Survivin</w:t>
            </w:r>
            <w:proofErr w:type="spellEnd"/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085DBE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Radiotherapy / Temozolomide (T M Z)</w:t>
            </w: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01242E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Increased treatment sensitivity (“reverse resistance”)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D5D099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  <w:lang w:eastAsia="zh-CN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[</w:t>
            </w:r>
            <w:r w:rsidRPr="00DA403E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98</w:t>
            </w:r>
            <w:r w:rsidRPr="00DA403E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]</w:t>
            </w:r>
          </w:p>
        </w:tc>
      </w:tr>
      <w:tr w:rsidR="00CD14F0" w:rsidRPr="00DA403E" w14:paraId="58C0D081" w14:textId="77777777" w:rsidTr="00DA403E">
        <w:trPr>
          <w:jc w:val="center"/>
        </w:trPr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35356C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p27^Kip1 (CDKN1B)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4F5B15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Experimental ΔNLS construct</w:t>
            </w:r>
          </w:p>
        </w:tc>
        <w:tc>
          <w:tcPr>
            <w:tcW w:w="10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660F38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Cytoplasmic enrichment of p27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62A1FA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HER-family targeted therapy (lapatinib etc.)</w:t>
            </w: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ECA3FF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Reduced apoptosis and drug sensitivity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5C65F9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  <w:lang w:eastAsia="zh-CN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[</w:t>
            </w:r>
            <w:r w:rsidRPr="00DA403E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99</w:t>
            </w:r>
            <w:r w:rsidRPr="00DA403E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]</w:t>
            </w:r>
          </w:p>
        </w:tc>
      </w:tr>
      <w:tr w:rsidR="00CD14F0" w:rsidRPr="00DA403E" w14:paraId="488A8149" w14:textId="77777777" w:rsidTr="00DA403E">
        <w:trPr>
          <w:jc w:val="center"/>
        </w:trPr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780BD6E7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BRCA1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79404749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Engineered NLS-BRCA1 and NES-BRCA1 localization mutants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31FBC6F6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Forced nuclear vs. cytoplasmic distribution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230CA68F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Platinum compounds / PARP inhibitor (ABT-888)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375E7199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Altered DNA repair competence and drug response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3D38D685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  <w:lang w:eastAsia="zh-CN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[</w:t>
            </w:r>
            <w:r w:rsidRPr="00DA403E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30</w:t>
            </w:r>
            <w:r w:rsidRPr="00DA403E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]</w:t>
            </w:r>
          </w:p>
        </w:tc>
      </w:tr>
    </w:tbl>
    <w:p w14:paraId="048EA69D" w14:textId="366B6EE4" w:rsidR="00CD14F0" w:rsidRDefault="00CD14F0" w:rsidP="00DA403E">
      <w:pPr>
        <w:pStyle w:val="TSP43tablefooter"/>
        <w:rPr>
          <w:w w:val="105"/>
        </w:rPr>
      </w:pPr>
      <w:r>
        <w:rPr>
          <w:b/>
          <w:bCs/>
          <w:w w:val="105"/>
        </w:rPr>
        <w:t>Abbreviations:</w:t>
      </w:r>
      <w:r>
        <w:rPr>
          <w:w w:val="105"/>
        </w:rPr>
        <w:t xml:space="preserve"> EGFR, epidermal growth factor receptor; NES, nuclear export signal; NLS, nuclear localization signal; EGFR-TKIs, EGFR tyrosine kinase inhibitors; TOP2A, topoisomerase IIα; VP-16, etoposide; BIRC5, </w:t>
      </w:r>
      <w:proofErr w:type="spellStart"/>
      <w:r>
        <w:rPr>
          <w:w w:val="105"/>
        </w:rPr>
        <w:t>survivin</w:t>
      </w:r>
      <w:proofErr w:type="spellEnd"/>
      <w:r>
        <w:rPr>
          <w:w w:val="105"/>
        </w:rPr>
        <w:t xml:space="preserve">; TMZ, temozolomide; CDKN1B, cyclin-dependent kinase inhibitor 1B; BRCA1, breast cancer susceptibility gene 1; PARP, </w:t>
      </w:r>
      <w:proofErr w:type="gramStart"/>
      <w:r>
        <w:rPr>
          <w:w w:val="105"/>
        </w:rPr>
        <w:t>poly(</w:t>
      </w:r>
      <w:proofErr w:type="gramEnd"/>
      <w:r>
        <w:rPr>
          <w:w w:val="105"/>
        </w:rPr>
        <w:t>ADP-ribose) polymerase; ABT-888, veliparib</w:t>
      </w:r>
      <w:r w:rsidR="00DA403E" w:rsidRPr="00DA403E">
        <w:rPr>
          <w:w w:val="105"/>
        </w:rPr>
        <w:t>.</w:t>
      </w:r>
    </w:p>
    <w:p w14:paraId="1648BD34" w14:textId="37526653" w:rsidR="00CD14F0" w:rsidRPr="00DA403E" w:rsidRDefault="00DA403E" w:rsidP="00DA403E">
      <w:pPr>
        <w:pStyle w:val="TSP41tablecaption"/>
        <w:jc w:val="center"/>
        <w:rPr>
          <w:w w:val="105"/>
        </w:rPr>
      </w:pPr>
      <w:r w:rsidRPr="00DA403E">
        <w:rPr>
          <w:b/>
          <w:w w:val="105"/>
        </w:rPr>
        <w:t>Table S3:</w:t>
      </w:r>
      <w:r w:rsidRPr="00DA403E">
        <w:rPr>
          <w:w w:val="105"/>
        </w:rPr>
        <w:t xml:space="preserve"> </w:t>
      </w:r>
      <w:r w:rsidR="00CD14F0" w:rsidRPr="00DA403E">
        <w:rPr>
          <w:w w:val="105"/>
        </w:rPr>
        <w:t>Representative studies linking TME pressures to NCT-dependent therapeutic resistance</w:t>
      </w:r>
      <w:r w:rsidRPr="00DA403E">
        <w:rPr>
          <w:w w:val="105"/>
        </w:rPr>
        <w:t>.</w:t>
      </w:r>
    </w:p>
    <w:tbl>
      <w:tblPr>
        <w:tblW w:w="936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2382"/>
        <w:gridCol w:w="1134"/>
        <w:gridCol w:w="2128"/>
        <w:gridCol w:w="1561"/>
        <w:gridCol w:w="1134"/>
      </w:tblGrid>
      <w:tr w:rsidR="00CD14F0" w:rsidRPr="00DA403E" w14:paraId="6EDBFE9B" w14:textId="77777777" w:rsidTr="00DA403E">
        <w:trPr>
          <w:jc w:val="center"/>
        </w:trPr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F8F3E71" w14:textId="2F710572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b/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b/>
                <w:color w:val="000000" w:themeColor="text1"/>
                <w:w w:val="105"/>
                <w:sz w:val="20"/>
                <w:szCs w:val="22"/>
              </w:rPr>
              <w:t xml:space="preserve">TME </w:t>
            </w:r>
            <w:r w:rsidR="00DA403E" w:rsidRPr="00DA403E">
              <w:rPr>
                <w:b/>
                <w:color w:val="000000" w:themeColor="text1"/>
                <w:w w:val="105"/>
                <w:sz w:val="20"/>
                <w:szCs w:val="22"/>
              </w:rPr>
              <w:t>Factor</w:t>
            </w:r>
          </w:p>
        </w:tc>
        <w:tc>
          <w:tcPr>
            <w:tcW w:w="1272" w:type="pct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55B6AFD" w14:textId="4B285106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b/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b/>
                <w:color w:val="000000" w:themeColor="text1"/>
                <w:w w:val="105"/>
                <w:sz w:val="20"/>
                <w:szCs w:val="22"/>
              </w:rPr>
              <w:t>NCT/</w:t>
            </w:r>
            <w:r w:rsidR="00DA403E" w:rsidRPr="00DA403E">
              <w:rPr>
                <w:b/>
                <w:color w:val="000000" w:themeColor="text1"/>
                <w:w w:val="105"/>
                <w:sz w:val="20"/>
                <w:szCs w:val="22"/>
              </w:rPr>
              <w:t>Subcellular Localization Change</w:t>
            </w:r>
          </w:p>
        </w:tc>
        <w:tc>
          <w:tcPr>
            <w:tcW w:w="606" w:type="pct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F244228" w14:textId="542CE982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b/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b/>
                <w:color w:val="000000" w:themeColor="text1"/>
                <w:w w:val="105"/>
                <w:sz w:val="20"/>
                <w:szCs w:val="22"/>
              </w:rPr>
              <w:t xml:space="preserve">Affected </w:t>
            </w:r>
            <w:r w:rsidR="00DA403E" w:rsidRPr="00DA403E">
              <w:rPr>
                <w:b/>
                <w:color w:val="000000" w:themeColor="text1"/>
                <w:w w:val="105"/>
                <w:sz w:val="20"/>
                <w:szCs w:val="22"/>
              </w:rPr>
              <w:t>Molecule</w:t>
            </w:r>
            <w:r w:rsidRPr="00DA403E">
              <w:rPr>
                <w:b/>
                <w:color w:val="000000" w:themeColor="text1"/>
                <w:w w:val="105"/>
                <w:sz w:val="20"/>
                <w:szCs w:val="22"/>
              </w:rPr>
              <w:t>(s)</w:t>
            </w:r>
          </w:p>
        </w:tc>
        <w:tc>
          <w:tcPr>
            <w:tcW w:w="1137" w:type="pct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D0AAEA0" w14:textId="1802B4E9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b/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b/>
                <w:color w:val="000000" w:themeColor="text1"/>
                <w:w w:val="105"/>
                <w:sz w:val="20"/>
                <w:szCs w:val="22"/>
              </w:rPr>
              <w:t>Drug/</w:t>
            </w:r>
            <w:r w:rsidR="00DA403E" w:rsidRPr="00DA403E">
              <w:rPr>
                <w:b/>
                <w:color w:val="000000" w:themeColor="text1"/>
                <w:w w:val="105"/>
                <w:sz w:val="20"/>
                <w:szCs w:val="22"/>
              </w:rPr>
              <w:t>Therapy Response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DDA35E0" w14:textId="50B63C9B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b/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b/>
                <w:color w:val="000000" w:themeColor="text1"/>
                <w:w w:val="105"/>
                <w:sz w:val="20"/>
                <w:szCs w:val="22"/>
              </w:rPr>
              <w:t xml:space="preserve">Cancer </w:t>
            </w:r>
            <w:r w:rsidR="00DA403E" w:rsidRPr="00DA403E">
              <w:rPr>
                <w:b/>
                <w:color w:val="000000" w:themeColor="text1"/>
                <w:w w:val="105"/>
                <w:sz w:val="20"/>
                <w:szCs w:val="22"/>
              </w:rPr>
              <w:t>Model</w:t>
            </w:r>
            <w:r w:rsidRPr="00DA403E">
              <w:rPr>
                <w:b/>
                <w:color w:val="000000" w:themeColor="text1"/>
                <w:w w:val="105"/>
                <w:sz w:val="20"/>
                <w:szCs w:val="22"/>
              </w:rPr>
              <w:t>(s)</w:t>
            </w:r>
          </w:p>
        </w:tc>
        <w:tc>
          <w:tcPr>
            <w:tcW w:w="606" w:type="pct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7518EB1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b/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b/>
                <w:color w:val="000000" w:themeColor="text1"/>
                <w:w w:val="105"/>
                <w:sz w:val="20"/>
                <w:szCs w:val="22"/>
              </w:rPr>
              <w:t>Reference(s)</w:t>
            </w:r>
          </w:p>
        </w:tc>
      </w:tr>
      <w:tr w:rsidR="00CD14F0" w:rsidRPr="00DA403E" w14:paraId="134211A7" w14:textId="77777777" w:rsidTr="00DA403E">
        <w:trPr>
          <w:jc w:val="center"/>
        </w:trPr>
        <w:tc>
          <w:tcPr>
            <w:tcW w:w="545" w:type="pct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8C36624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Hypoxia</w:t>
            </w:r>
          </w:p>
        </w:tc>
        <w:tc>
          <w:tcPr>
            <w:tcW w:w="127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3220DC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Promotes nuclear translocation and activation of YAP; reversible by mevalonate-pathway inhibition</w:t>
            </w:r>
          </w:p>
        </w:tc>
        <w:tc>
          <w:tcPr>
            <w:tcW w:w="60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237116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YAP</w:t>
            </w:r>
          </w:p>
        </w:tc>
        <w:tc>
          <w:tcPr>
            <w:tcW w:w="113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B638AD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Confers resistance to SN38 (topoisomerase-I inhibitor); YAP–mevalonate inhibition restores chemosensitivity</w:t>
            </w:r>
          </w:p>
        </w:tc>
        <w:tc>
          <w:tcPr>
            <w:tcW w:w="834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A91CF6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Hepatocellular carcinoma (HCC)</w:t>
            </w:r>
          </w:p>
        </w:tc>
        <w:tc>
          <w:tcPr>
            <w:tcW w:w="60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2C8FA96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  <w:lang w:eastAsia="zh-CN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[</w:t>
            </w:r>
            <w:r w:rsidRPr="00DA403E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100</w:t>
            </w:r>
            <w:r w:rsidRPr="00DA403E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]</w:t>
            </w:r>
          </w:p>
        </w:tc>
      </w:tr>
      <w:tr w:rsidR="00CD14F0" w:rsidRPr="00DA403E" w14:paraId="32CB1E9A" w14:textId="77777777" w:rsidTr="00DA403E">
        <w:trPr>
          <w:jc w:val="center"/>
        </w:trPr>
        <w:tc>
          <w:tcPr>
            <w:tcW w:w="54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C003E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923CCA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Increases nuclear accumulation of EGFR and DNA-</w:t>
            </w:r>
            <w:proofErr w:type="spellStart"/>
            <w:r w:rsidRPr="00DA403E">
              <w:rPr>
                <w:color w:val="000000" w:themeColor="text1"/>
                <w:w w:val="105"/>
                <w:sz w:val="20"/>
                <w:szCs w:val="22"/>
              </w:rPr>
              <w:t>PKcs</w:t>
            </w:r>
            <w:proofErr w:type="spellEnd"/>
            <w:r w:rsidRPr="00DA403E">
              <w:rPr>
                <w:color w:val="000000" w:themeColor="text1"/>
                <w:w w:val="105"/>
                <w:sz w:val="20"/>
                <w:szCs w:val="22"/>
              </w:rPr>
              <w:t xml:space="preserve"> via Twist1 induction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32EB4B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EGFR, DNA-</w:t>
            </w:r>
            <w:proofErr w:type="spellStart"/>
            <w:r w:rsidRPr="00DA403E">
              <w:rPr>
                <w:color w:val="000000" w:themeColor="text1"/>
                <w:w w:val="105"/>
                <w:sz w:val="20"/>
                <w:szCs w:val="22"/>
              </w:rPr>
              <w:t>PKcs</w:t>
            </w:r>
            <w:proofErr w:type="spellEnd"/>
          </w:p>
        </w:tc>
        <w:tc>
          <w:tcPr>
            <w:tcW w:w="11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799B40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 xml:space="preserve">Enhances DNA repair and </w:t>
            </w:r>
            <w:proofErr w:type="spellStart"/>
            <w:r w:rsidRPr="00DA403E">
              <w:rPr>
                <w:color w:val="000000" w:themeColor="text1"/>
                <w:w w:val="105"/>
                <w:sz w:val="20"/>
                <w:szCs w:val="22"/>
              </w:rPr>
              <w:t>radioresistance</w:t>
            </w:r>
            <w:proofErr w:type="spellEnd"/>
            <w:r w:rsidRPr="00DA403E">
              <w:rPr>
                <w:color w:val="000000" w:themeColor="text1"/>
                <w:w w:val="105"/>
                <w:sz w:val="20"/>
                <w:szCs w:val="22"/>
              </w:rPr>
              <w:t>; pathway blockade re-sensitizes tumors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45BB84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Cervical carcinoma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37ABEB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  <w:lang w:eastAsia="zh-CN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[</w:t>
            </w:r>
            <w:r w:rsidRPr="00DA403E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101</w:t>
            </w:r>
            <w:r w:rsidRPr="00DA403E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]</w:t>
            </w:r>
          </w:p>
        </w:tc>
      </w:tr>
      <w:tr w:rsidR="00CD14F0" w:rsidRPr="00DA403E" w14:paraId="121AEEC8" w14:textId="77777777" w:rsidTr="00DA403E">
        <w:trPr>
          <w:jc w:val="center"/>
        </w:trPr>
        <w:tc>
          <w:tcPr>
            <w:tcW w:w="54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1D7AE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9C10F8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 xml:space="preserve">Stabilizes nuclear localization of β-catenin </w:t>
            </w:r>
            <w:r w:rsidRPr="00DA403E">
              <w:rPr>
                <w:color w:val="000000" w:themeColor="text1"/>
                <w:w w:val="105"/>
                <w:sz w:val="20"/>
                <w:szCs w:val="22"/>
              </w:rPr>
              <w:lastRenderedPageBreak/>
              <w:t>through H19-derived miR-675-5p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F43BD01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lastRenderedPageBreak/>
              <w:t>β-Catenin</w:t>
            </w:r>
          </w:p>
        </w:tc>
        <w:tc>
          <w:tcPr>
            <w:tcW w:w="11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B6B111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 xml:space="preserve">Drives 5-fluorouracil (5-FU) resistance; </w:t>
            </w:r>
            <w:r w:rsidRPr="00DA403E">
              <w:rPr>
                <w:color w:val="000000" w:themeColor="text1"/>
                <w:w w:val="105"/>
                <w:sz w:val="20"/>
                <w:szCs w:val="22"/>
              </w:rPr>
              <w:lastRenderedPageBreak/>
              <w:t>inhibition of miR-675-5p reverses phenotype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B3D3FC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lastRenderedPageBreak/>
              <w:t>Colorectal cancer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D8394C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  <w:lang w:eastAsia="zh-CN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[</w:t>
            </w:r>
            <w:r w:rsidRPr="00DA403E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102</w:t>
            </w:r>
            <w:r w:rsidRPr="00DA403E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]</w:t>
            </w:r>
          </w:p>
        </w:tc>
      </w:tr>
      <w:tr w:rsidR="00CD14F0" w:rsidRPr="00DA403E" w14:paraId="70C3C4CF" w14:textId="77777777" w:rsidTr="00DA403E">
        <w:trPr>
          <w:jc w:val="center"/>
        </w:trPr>
        <w:tc>
          <w:tcPr>
            <w:tcW w:w="54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71DCA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4E8B85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Activates nuclear NRF2 signaling, strengthening antioxidant capacity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4B75E9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NRF2</w:t>
            </w:r>
          </w:p>
        </w:tc>
        <w:tc>
          <w:tcPr>
            <w:tcW w:w="11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F74A94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Reduces cisplatin efficacy via enhanced redox defense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F4EEEE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Breast-cancer models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E7EC7CC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  <w:lang w:eastAsia="zh-CN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[</w:t>
            </w:r>
            <w:r w:rsidRPr="00DA403E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103</w:t>
            </w:r>
            <w:r w:rsidRPr="00DA403E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]</w:t>
            </w:r>
          </w:p>
        </w:tc>
      </w:tr>
      <w:tr w:rsidR="00CD14F0" w:rsidRPr="00DA403E" w14:paraId="6C65323B" w14:textId="77777777" w:rsidTr="00DA403E">
        <w:trPr>
          <w:jc w:val="center"/>
        </w:trPr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622207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ECM stiffening (mechanical pressure)</w:t>
            </w:r>
          </w:p>
        </w:tc>
        <w:tc>
          <w:tcPr>
            <w:tcW w:w="12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C01E84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Increases nuclear enrichment of YAP/TAZ (±β-catenin) under elevated matrix rigidity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15F7BBC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YAP, TAZ, β-Catenin</w:t>
            </w:r>
          </w:p>
        </w:tc>
        <w:tc>
          <w:tcPr>
            <w:tcW w:w="11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1A7D3D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Promotes doxorubicin resistance; similar nuclear YAP activation underlies gemcitabine tolerance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E4371DD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3D breast-cancer spheroids; pancreatic cancer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741562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  <w:lang w:eastAsia="zh-CN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[</w:t>
            </w:r>
            <w:r w:rsidRPr="00DA403E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104</w:t>
            </w:r>
            <w:r w:rsidRPr="00DA403E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，</w:t>
            </w:r>
            <w:r w:rsidRPr="00DA403E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105</w:t>
            </w:r>
            <w:r w:rsidRPr="00DA403E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]</w:t>
            </w:r>
          </w:p>
        </w:tc>
      </w:tr>
      <w:tr w:rsidR="00CD14F0" w:rsidRPr="00DA403E" w14:paraId="2613A9FF" w14:textId="77777777" w:rsidTr="00DA403E">
        <w:trPr>
          <w:jc w:val="center"/>
        </w:trPr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0144F547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Lactate-rich / hypoxic microenvironment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4D825160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Triggers nuclear import of GPR81 (HCAR1) under metabolic stress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1B78ACA4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GPR81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7F83C992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Mechanistic evidence of atypical nuclear trafficking; drug-response link pending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7DD8D681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</w:rPr>
              <w:t>Lung cancer; Breast cancer; Colorectal cancer; Glioma; Pancreatic cancer.</w:t>
            </w:r>
          </w:p>
          <w:p w14:paraId="02AA056F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4F9F1C76" w14:textId="77777777" w:rsidR="00CD14F0" w:rsidRPr="00DA403E" w:rsidRDefault="00CD14F0" w:rsidP="00DA403E">
            <w:pPr>
              <w:pStyle w:val="BodyText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color w:val="000000" w:themeColor="text1"/>
                <w:w w:val="105"/>
                <w:sz w:val="20"/>
                <w:szCs w:val="22"/>
                <w:lang w:eastAsia="zh-CN"/>
              </w:rPr>
            </w:pPr>
            <w:r w:rsidRPr="00DA403E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[</w:t>
            </w:r>
            <w:r w:rsidRPr="00DA403E">
              <w:rPr>
                <w:rFonts w:hint="eastAsia"/>
                <w:color w:val="000000" w:themeColor="text1"/>
                <w:w w:val="105"/>
                <w:sz w:val="20"/>
                <w:szCs w:val="22"/>
                <w:lang w:eastAsia="zh-CN"/>
              </w:rPr>
              <w:t>106</w:t>
            </w:r>
            <w:r w:rsidRPr="00DA403E">
              <w:rPr>
                <w:color w:val="000000" w:themeColor="text1"/>
                <w:w w:val="105"/>
                <w:sz w:val="20"/>
                <w:szCs w:val="22"/>
                <w:lang w:eastAsia="zh-CN"/>
              </w:rPr>
              <w:t>]</w:t>
            </w:r>
          </w:p>
        </w:tc>
      </w:tr>
    </w:tbl>
    <w:p w14:paraId="5B6D5EEC" w14:textId="4627175C" w:rsidR="00CD14F0" w:rsidRDefault="00CD14F0" w:rsidP="00DA403E">
      <w:pPr>
        <w:pStyle w:val="TSP43tablefooter"/>
        <w:rPr>
          <w:w w:val="105"/>
        </w:rPr>
      </w:pPr>
      <w:r>
        <w:rPr>
          <w:b/>
          <w:bCs/>
          <w:w w:val="105"/>
        </w:rPr>
        <w:t>Abbreviations:</w:t>
      </w:r>
      <w:r>
        <w:rPr>
          <w:w w:val="105"/>
        </w:rPr>
        <w:t xml:space="preserve"> TME, tumor microenvironment; NCT, nucleocytoplasmic trafficking; YAP, Yes-associated protein; EGFR, epidermal growth factor receptor; DNA-</w:t>
      </w:r>
      <w:proofErr w:type="spellStart"/>
      <w:r>
        <w:rPr>
          <w:w w:val="105"/>
        </w:rPr>
        <w:t>PKcs</w:t>
      </w:r>
      <w:proofErr w:type="spellEnd"/>
      <w:r>
        <w:rPr>
          <w:w w:val="105"/>
        </w:rPr>
        <w:t>, DNA-dependent protein kinase catalytic subunit; HCC, hepatocellular carcinoma; NRF2, nuclear factor erythroid 2-related factor 2; XPO1, exportin 1; ECM, extracellular matrix; TAZ, transcriptional co-activator with PDZ-binding motif; GPR81/HCAR1, hydroxycarboxylic acid receptor 1; SN38, 7-ethyl-10-hydroxycamptothecin; 5-FU, 5-fluorouracil</w:t>
      </w:r>
      <w:r w:rsidR="00DA403E" w:rsidRPr="00DA403E">
        <w:rPr>
          <w:w w:val="105"/>
        </w:rPr>
        <w:t>.</w:t>
      </w:r>
    </w:p>
    <w:sectPr w:rsidR="00CD14F0" w:rsidSect="003A7283">
      <w:headerReference w:type="first" r:id="rId8"/>
      <w:type w:val="continuous"/>
      <w:pgSz w:w="12242" w:h="15842" w:code="1"/>
      <w:pgMar w:top="1440" w:right="1440" w:bottom="1440" w:left="1440" w:header="680" w:footer="794" w:gutter="0"/>
      <w:pgNumType w:start="1"/>
      <w:cols w:space="425"/>
      <w:titlePg/>
      <w:bidi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5DEB0" w14:textId="77777777" w:rsidR="00571495" w:rsidRDefault="00571495">
      <w:pPr>
        <w:spacing w:line="240" w:lineRule="auto"/>
      </w:pPr>
      <w:r>
        <w:separator/>
      </w:r>
    </w:p>
  </w:endnote>
  <w:endnote w:type="continuationSeparator" w:id="0">
    <w:p w14:paraId="4CD6F07B" w14:textId="77777777" w:rsidR="00571495" w:rsidRDefault="005714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AA182" w14:textId="77777777" w:rsidR="00571495" w:rsidRDefault="00571495">
      <w:pPr>
        <w:spacing w:line="240" w:lineRule="auto"/>
      </w:pPr>
      <w:r>
        <w:separator/>
      </w:r>
    </w:p>
  </w:footnote>
  <w:footnote w:type="continuationSeparator" w:id="0">
    <w:p w14:paraId="7133BFB5" w14:textId="77777777" w:rsidR="00571495" w:rsidRDefault="005714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DC885" w14:textId="77777777" w:rsidR="00776E78" w:rsidRPr="00776E78" w:rsidRDefault="00776E78" w:rsidP="00F2126F">
    <w:pPr>
      <w:pStyle w:val="Header"/>
      <w:spacing w:line="80" w:lineRule="exac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40489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0FF0D1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9FED0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2065858"/>
    <w:multiLevelType w:val="hybridMultilevel"/>
    <w:tmpl w:val="4B0C72EA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A037C"/>
    <w:multiLevelType w:val="hybridMultilevel"/>
    <w:tmpl w:val="2F484F9A"/>
    <w:lvl w:ilvl="0" w:tplc="B77A71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058227C">
      <w:start w:val="1"/>
      <w:numFmt w:val="upperLetter"/>
      <w:lvlText w:val="%2."/>
      <w:lvlJc w:val="left"/>
      <w:pPr>
        <w:ind w:left="800" w:hanging="360"/>
      </w:pPr>
      <w:rPr>
        <w:rFonts w:eastAsia="宋体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2FD2432"/>
    <w:multiLevelType w:val="hybridMultilevel"/>
    <w:tmpl w:val="3856C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468F5"/>
    <w:multiLevelType w:val="hybridMultilevel"/>
    <w:tmpl w:val="364EB906"/>
    <w:lvl w:ilvl="0" w:tplc="98CE9076">
      <w:start w:val="1"/>
      <w:numFmt w:val="bullet"/>
      <w:pStyle w:val="TSP38bullet"/>
      <w:lvlText w:val=""/>
      <w:lvlJc w:val="left"/>
      <w:pPr>
        <w:ind w:left="425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2085B"/>
    <w:multiLevelType w:val="hybridMultilevel"/>
    <w:tmpl w:val="D5A0FF38"/>
    <w:lvl w:ilvl="0" w:tplc="F5EE6E4A">
      <w:start w:val="1"/>
      <w:numFmt w:val="decimal"/>
      <w:pStyle w:val="TSP71FootNotes"/>
      <w:lvlText w:val="%1."/>
      <w:lvlJc w:val="left"/>
      <w:pPr>
        <w:ind w:left="425" w:hanging="425"/>
      </w:pPr>
      <w:rPr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92519"/>
    <w:multiLevelType w:val="hybridMultilevel"/>
    <w:tmpl w:val="F86602B4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10" w15:restartNumberingAfterBreak="0">
    <w:nsid w:val="24D96086"/>
    <w:multiLevelType w:val="hybridMultilevel"/>
    <w:tmpl w:val="5CA6B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A245F"/>
    <w:multiLevelType w:val="hybridMultilevel"/>
    <w:tmpl w:val="29E20A30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5051C"/>
    <w:multiLevelType w:val="hybridMultilevel"/>
    <w:tmpl w:val="D6480D34"/>
    <w:lvl w:ilvl="0" w:tplc="CDCEE7DA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82E1BA0"/>
    <w:multiLevelType w:val="hybridMultilevel"/>
    <w:tmpl w:val="EF3C6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9A6535"/>
    <w:multiLevelType w:val="hybridMultilevel"/>
    <w:tmpl w:val="3CB68362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2E2771B"/>
    <w:multiLevelType w:val="hybridMultilevel"/>
    <w:tmpl w:val="A2A06AAC"/>
    <w:lvl w:ilvl="0" w:tplc="C788203A">
      <w:start w:val="1"/>
      <w:numFmt w:val="decimal"/>
      <w:lvlRestart w:val="0"/>
      <w:lvlText w:val="%1"/>
      <w:lvlJc w:val="left"/>
      <w:pPr>
        <w:ind w:left="425" w:hanging="425"/>
      </w:pPr>
      <w:rPr>
        <w:rFonts w:hint="eastAsia"/>
        <w:caps w:val="0"/>
        <w:strike w:val="0"/>
        <w:dstrike w:val="0"/>
        <w:vanish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17" w15:restartNumberingAfterBreak="0">
    <w:nsid w:val="59F251C5"/>
    <w:multiLevelType w:val="hybridMultilevel"/>
    <w:tmpl w:val="E2ACA3DC"/>
    <w:lvl w:ilvl="0" w:tplc="F574F898">
      <w:start w:val="1"/>
      <w:numFmt w:val="lowerLetter"/>
      <w:lvlText w:val="(%1)"/>
      <w:lvlJc w:val="left"/>
      <w:pPr>
        <w:ind w:left="11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8" w15:restartNumberingAfterBreak="0">
    <w:nsid w:val="5D206535"/>
    <w:multiLevelType w:val="hybridMultilevel"/>
    <w:tmpl w:val="CBC275A6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E01B78"/>
    <w:multiLevelType w:val="hybridMultilevel"/>
    <w:tmpl w:val="E5348BD8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950A46"/>
    <w:multiLevelType w:val="hybridMultilevel"/>
    <w:tmpl w:val="C046ED72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12E46"/>
    <w:multiLevelType w:val="hybridMultilevel"/>
    <w:tmpl w:val="AA749456"/>
    <w:lvl w:ilvl="0" w:tplc="533CB9CC">
      <w:start w:val="1"/>
      <w:numFmt w:val="decimal"/>
      <w:pStyle w:val="TSP71References"/>
      <w:lvlText w:val="%1."/>
      <w:lvlJc w:val="left"/>
      <w:pPr>
        <w:ind w:left="425" w:hanging="425"/>
      </w:pPr>
      <w:rPr>
        <w:rFonts w:hint="eastAsia"/>
        <w:b w:val="0"/>
        <w:i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D5736"/>
    <w:multiLevelType w:val="hybridMultilevel"/>
    <w:tmpl w:val="7E201858"/>
    <w:lvl w:ilvl="0" w:tplc="7736F520">
      <w:start w:val="1"/>
      <w:numFmt w:val="decimal"/>
      <w:lvlRestart w:val="0"/>
      <w:lvlText w:val="%1."/>
      <w:lvlJc w:val="left"/>
      <w:pPr>
        <w:ind w:left="425" w:hanging="425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311A3B"/>
    <w:multiLevelType w:val="hybridMultilevel"/>
    <w:tmpl w:val="0A886D1C"/>
    <w:lvl w:ilvl="0" w:tplc="1BD0435E">
      <w:start w:val="1"/>
      <w:numFmt w:val="decimal"/>
      <w:pStyle w:val="TSP37itemize"/>
      <w:lvlText w:val="%1."/>
      <w:lvlJc w:val="left"/>
      <w:pPr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691952215">
    <w:abstractNumId w:val="12"/>
  </w:num>
  <w:num w:numId="2" w16cid:durableId="1652440911">
    <w:abstractNumId w:val="14"/>
  </w:num>
  <w:num w:numId="3" w16cid:durableId="1187479263">
    <w:abstractNumId w:val="11"/>
  </w:num>
  <w:num w:numId="4" w16cid:durableId="15497607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4528829">
    <w:abstractNumId w:val="13"/>
  </w:num>
  <w:num w:numId="6" w16cid:durableId="1154181074">
    <w:abstractNumId w:val="16"/>
  </w:num>
  <w:num w:numId="7" w16cid:durableId="65033990">
    <w:abstractNumId w:val="9"/>
  </w:num>
  <w:num w:numId="8" w16cid:durableId="2140877248">
    <w:abstractNumId w:val="16"/>
  </w:num>
  <w:num w:numId="9" w16cid:durableId="20672592">
    <w:abstractNumId w:val="9"/>
  </w:num>
  <w:num w:numId="10" w16cid:durableId="2139564162">
    <w:abstractNumId w:val="16"/>
  </w:num>
  <w:num w:numId="11" w16cid:durableId="1012947991">
    <w:abstractNumId w:val="9"/>
  </w:num>
  <w:num w:numId="12" w16cid:durableId="1037122919">
    <w:abstractNumId w:val="22"/>
  </w:num>
  <w:num w:numId="13" w16cid:durableId="2121799575">
    <w:abstractNumId w:val="16"/>
  </w:num>
  <w:num w:numId="14" w16cid:durableId="1339308804">
    <w:abstractNumId w:val="9"/>
  </w:num>
  <w:num w:numId="15" w16cid:durableId="52080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967528">
    <w:abstractNumId w:val="9"/>
  </w:num>
  <w:num w:numId="17" w16cid:durableId="7433077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06720847">
    <w:abstractNumId w:val="6"/>
  </w:num>
  <w:num w:numId="19" w16cid:durableId="388119203">
    <w:abstractNumId w:val="15"/>
  </w:num>
  <w:num w:numId="20" w16cid:durableId="1764299600">
    <w:abstractNumId w:val="6"/>
  </w:num>
  <w:num w:numId="21" w16cid:durableId="961232939">
    <w:abstractNumId w:val="16"/>
  </w:num>
  <w:num w:numId="22" w16cid:durableId="1276476985">
    <w:abstractNumId w:val="9"/>
  </w:num>
  <w:num w:numId="23" w16cid:durableId="409735920">
    <w:abstractNumId w:val="6"/>
  </w:num>
  <w:num w:numId="24" w16cid:durableId="112406696">
    <w:abstractNumId w:val="7"/>
  </w:num>
  <w:num w:numId="25" w16cid:durableId="1404640498">
    <w:abstractNumId w:val="23"/>
  </w:num>
  <w:num w:numId="26" w16cid:durableId="168302275">
    <w:abstractNumId w:val="21"/>
  </w:num>
  <w:num w:numId="27" w16cid:durableId="857045198">
    <w:abstractNumId w:val="23"/>
  </w:num>
  <w:num w:numId="28" w16cid:durableId="2036497455">
    <w:abstractNumId w:val="6"/>
  </w:num>
  <w:num w:numId="29" w16cid:durableId="491918806">
    <w:abstractNumId w:val="7"/>
  </w:num>
  <w:num w:numId="30" w16cid:durableId="1943103568">
    <w:abstractNumId w:val="21"/>
  </w:num>
  <w:num w:numId="31" w16cid:durableId="1364674198">
    <w:abstractNumId w:val="1"/>
  </w:num>
  <w:num w:numId="32" w16cid:durableId="1314263126">
    <w:abstractNumId w:val="2"/>
  </w:num>
  <w:num w:numId="33" w16cid:durableId="133302434">
    <w:abstractNumId w:val="0"/>
  </w:num>
  <w:num w:numId="34" w16cid:durableId="1802306758">
    <w:abstractNumId w:val="4"/>
  </w:num>
  <w:num w:numId="35" w16cid:durableId="1333025447">
    <w:abstractNumId w:val="17"/>
  </w:num>
  <w:num w:numId="36" w16cid:durableId="570117604">
    <w:abstractNumId w:val="10"/>
  </w:num>
  <w:num w:numId="37" w16cid:durableId="1626737122">
    <w:abstractNumId w:val="5"/>
  </w:num>
  <w:num w:numId="38" w16cid:durableId="1263994072">
    <w:abstractNumId w:val="18"/>
  </w:num>
  <w:num w:numId="39" w16cid:durableId="1753820995">
    <w:abstractNumId w:val="20"/>
  </w:num>
  <w:num w:numId="40" w16cid:durableId="1230533176">
    <w:abstractNumId w:val="3"/>
  </w:num>
  <w:num w:numId="41" w16cid:durableId="2051149852">
    <w:abstractNumId w:val="8"/>
  </w:num>
  <w:num w:numId="42" w16cid:durableId="339164728">
    <w:abstractNumId w:val="19"/>
  </w:num>
  <w:num w:numId="43" w16cid:durableId="1765688548">
    <w:abstractNumId w:val="23"/>
    <w:lvlOverride w:ilvl="0">
      <w:startOverride w:val="1"/>
    </w:lvlOverride>
  </w:num>
  <w:num w:numId="44" w16cid:durableId="367146899">
    <w:abstractNumId w:val="23"/>
    <w:lvlOverride w:ilvl="0">
      <w:startOverride w:val="1"/>
    </w:lvlOverride>
  </w:num>
  <w:num w:numId="45" w16cid:durableId="390428334">
    <w:abstractNumId w:val="23"/>
  </w:num>
  <w:num w:numId="46" w16cid:durableId="1354066480">
    <w:abstractNumId w:val="6"/>
  </w:num>
  <w:num w:numId="47" w16cid:durableId="13189600">
    <w:abstractNumId w:val="7"/>
  </w:num>
  <w:num w:numId="48" w16cid:durableId="31005445">
    <w:abstractNumId w:val="21"/>
  </w:num>
  <w:num w:numId="49" w16cid:durableId="1109043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510"/>
  <w:evenAndOddHeaders/>
  <w:drawingGridHorizontalSpacing w:val="11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4F0"/>
    <w:rsid w:val="000348D8"/>
    <w:rsid w:val="00035FC3"/>
    <w:rsid w:val="000376D2"/>
    <w:rsid w:val="00042AF8"/>
    <w:rsid w:val="0004400E"/>
    <w:rsid w:val="00044BC6"/>
    <w:rsid w:val="00044C0A"/>
    <w:rsid w:val="0004721A"/>
    <w:rsid w:val="00053EBF"/>
    <w:rsid w:val="000576F8"/>
    <w:rsid w:val="00064746"/>
    <w:rsid w:val="00066035"/>
    <w:rsid w:val="00074D05"/>
    <w:rsid w:val="00087BBB"/>
    <w:rsid w:val="0009213F"/>
    <w:rsid w:val="000A0F93"/>
    <w:rsid w:val="000A1959"/>
    <w:rsid w:val="000A571A"/>
    <w:rsid w:val="000B0198"/>
    <w:rsid w:val="000B1F19"/>
    <w:rsid w:val="000B5171"/>
    <w:rsid w:val="000B72A4"/>
    <w:rsid w:val="000B74CE"/>
    <w:rsid w:val="000C151B"/>
    <w:rsid w:val="000C2465"/>
    <w:rsid w:val="000C504E"/>
    <w:rsid w:val="000C53B9"/>
    <w:rsid w:val="000D1C00"/>
    <w:rsid w:val="000D68A9"/>
    <w:rsid w:val="000F74CC"/>
    <w:rsid w:val="001004AC"/>
    <w:rsid w:val="001042A7"/>
    <w:rsid w:val="00120C0D"/>
    <w:rsid w:val="00123A57"/>
    <w:rsid w:val="001266E5"/>
    <w:rsid w:val="00127184"/>
    <w:rsid w:val="001432F6"/>
    <w:rsid w:val="00144467"/>
    <w:rsid w:val="00147FA8"/>
    <w:rsid w:val="00150001"/>
    <w:rsid w:val="0016006D"/>
    <w:rsid w:val="00167105"/>
    <w:rsid w:val="001933FC"/>
    <w:rsid w:val="001A0192"/>
    <w:rsid w:val="001A1E76"/>
    <w:rsid w:val="001C75BF"/>
    <w:rsid w:val="001D349C"/>
    <w:rsid w:val="001D4D23"/>
    <w:rsid w:val="001E2AEB"/>
    <w:rsid w:val="001E4A07"/>
    <w:rsid w:val="0020081E"/>
    <w:rsid w:val="00206E80"/>
    <w:rsid w:val="00211F69"/>
    <w:rsid w:val="0021217E"/>
    <w:rsid w:val="002223FC"/>
    <w:rsid w:val="00222904"/>
    <w:rsid w:val="00240486"/>
    <w:rsid w:val="002432B5"/>
    <w:rsid w:val="002675BF"/>
    <w:rsid w:val="002915FF"/>
    <w:rsid w:val="002946D9"/>
    <w:rsid w:val="002E255F"/>
    <w:rsid w:val="002F4A79"/>
    <w:rsid w:val="003040E0"/>
    <w:rsid w:val="003066FF"/>
    <w:rsid w:val="00311D3F"/>
    <w:rsid w:val="00323108"/>
    <w:rsid w:val="00323B01"/>
    <w:rsid w:val="00324292"/>
    <w:rsid w:val="00326141"/>
    <w:rsid w:val="00330316"/>
    <w:rsid w:val="00331431"/>
    <w:rsid w:val="003539E4"/>
    <w:rsid w:val="00357E10"/>
    <w:rsid w:val="003615E2"/>
    <w:rsid w:val="00361D8E"/>
    <w:rsid w:val="00364C29"/>
    <w:rsid w:val="00370E12"/>
    <w:rsid w:val="00370EC8"/>
    <w:rsid w:val="00374CD6"/>
    <w:rsid w:val="0037766B"/>
    <w:rsid w:val="00377F4F"/>
    <w:rsid w:val="003817A5"/>
    <w:rsid w:val="00386E3B"/>
    <w:rsid w:val="0038794D"/>
    <w:rsid w:val="00397AC9"/>
    <w:rsid w:val="003A15E9"/>
    <w:rsid w:val="003A7283"/>
    <w:rsid w:val="003A791E"/>
    <w:rsid w:val="003B6729"/>
    <w:rsid w:val="003B7C96"/>
    <w:rsid w:val="003C241C"/>
    <w:rsid w:val="003C62BE"/>
    <w:rsid w:val="003D1BF9"/>
    <w:rsid w:val="003D3232"/>
    <w:rsid w:val="003D7014"/>
    <w:rsid w:val="003D7079"/>
    <w:rsid w:val="003D70B0"/>
    <w:rsid w:val="003E012D"/>
    <w:rsid w:val="003F0E95"/>
    <w:rsid w:val="003F1497"/>
    <w:rsid w:val="003F181E"/>
    <w:rsid w:val="003F46B4"/>
    <w:rsid w:val="003F49FF"/>
    <w:rsid w:val="00401D30"/>
    <w:rsid w:val="0041581F"/>
    <w:rsid w:val="0042484A"/>
    <w:rsid w:val="00425800"/>
    <w:rsid w:val="00425DAF"/>
    <w:rsid w:val="0042613F"/>
    <w:rsid w:val="004340C2"/>
    <w:rsid w:val="0043514A"/>
    <w:rsid w:val="00443AAF"/>
    <w:rsid w:val="004466CA"/>
    <w:rsid w:val="004504C9"/>
    <w:rsid w:val="004505CF"/>
    <w:rsid w:val="004669B4"/>
    <w:rsid w:val="0046725B"/>
    <w:rsid w:val="00471F5A"/>
    <w:rsid w:val="00475043"/>
    <w:rsid w:val="004A046F"/>
    <w:rsid w:val="004A346F"/>
    <w:rsid w:val="004D3B65"/>
    <w:rsid w:val="00501D0F"/>
    <w:rsid w:val="00506BC0"/>
    <w:rsid w:val="0051540B"/>
    <w:rsid w:val="00516DCD"/>
    <w:rsid w:val="0053256F"/>
    <w:rsid w:val="005332CC"/>
    <w:rsid w:val="00542726"/>
    <w:rsid w:val="005429B5"/>
    <w:rsid w:val="00542D48"/>
    <w:rsid w:val="00557B4B"/>
    <w:rsid w:val="00562123"/>
    <w:rsid w:val="005664C6"/>
    <w:rsid w:val="00571495"/>
    <w:rsid w:val="00590388"/>
    <w:rsid w:val="00590AC5"/>
    <w:rsid w:val="005A6A67"/>
    <w:rsid w:val="005B6005"/>
    <w:rsid w:val="005B7792"/>
    <w:rsid w:val="005C5DE8"/>
    <w:rsid w:val="005D48F1"/>
    <w:rsid w:val="005F306C"/>
    <w:rsid w:val="00605718"/>
    <w:rsid w:val="00606DEF"/>
    <w:rsid w:val="00616A94"/>
    <w:rsid w:val="006205C4"/>
    <w:rsid w:val="00633779"/>
    <w:rsid w:val="00640712"/>
    <w:rsid w:val="00644710"/>
    <w:rsid w:val="00645D18"/>
    <w:rsid w:val="00646BFC"/>
    <w:rsid w:val="0065240B"/>
    <w:rsid w:val="00653AA5"/>
    <w:rsid w:val="0065560B"/>
    <w:rsid w:val="00666C02"/>
    <w:rsid w:val="00673B6B"/>
    <w:rsid w:val="00680C71"/>
    <w:rsid w:val="0068381A"/>
    <w:rsid w:val="00686D0C"/>
    <w:rsid w:val="0068775B"/>
    <w:rsid w:val="00691777"/>
    <w:rsid w:val="00692393"/>
    <w:rsid w:val="006A18E5"/>
    <w:rsid w:val="006A74F9"/>
    <w:rsid w:val="006C6DB8"/>
    <w:rsid w:val="006D7D99"/>
    <w:rsid w:val="006E1066"/>
    <w:rsid w:val="006E22A6"/>
    <w:rsid w:val="006E400E"/>
    <w:rsid w:val="006E63FE"/>
    <w:rsid w:val="006F7353"/>
    <w:rsid w:val="006F797D"/>
    <w:rsid w:val="0071323C"/>
    <w:rsid w:val="00722347"/>
    <w:rsid w:val="00724867"/>
    <w:rsid w:val="00744F06"/>
    <w:rsid w:val="00745CCF"/>
    <w:rsid w:val="007471D3"/>
    <w:rsid w:val="007502F4"/>
    <w:rsid w:val="00750361"/>
    <w:rsid w:val="00762525"/>
    <w:rsid w:val="007648D8"/>
    <w:rsid w:val="00776E78"/>
    <w:rsid w:val="00792DC7"/>
    <w:rsid w:val="00797AB1"/>
    <w:rsid w:val="007C021F"/>
    <w:rsid w:val="007D0ABE"/>
    <w:rsid w:val="007D3EBF"/>
    <w:rsid w:val="007F1339"/>
    <w:rsid w:val="007F1650"/>
    <w:rsid w:val="007F198A"/>
    <w:rsid w:val="00804595"/>
    <w:rsid w:val="008145DC"/>
    <w:rsid w:val="00814FF4"/>
    <w:rsid w:val="00815D1E"/>
    <w:rsid w:val="0082500C"/>
    <w:rsid w:val="00827247"/>
    <w:rsid w:val="0084274C"/>
    <w:rsid w:val="00843AAF"/>
    <w:rsid w:val="008474ED"/>
    <w:rsid w:val="00861A54"/>
    <w:rsid w:val="00862B31"/>
    <w:rsid w:val="008669FB"/>
    <w:rsid w:val="008A3D4D"/>
    <w:rsid w:val="008B6A2E"/>
    <w:rsid w:val="008C1897"/>
    <w:rsid w:val="008D62D4"/>
    <w:rsid w:val="008D69AF"/>
    <w:rsid w:val="008F2594"/>
    <w:rsid w:val="00911F22"/>
    <w:rsid w:val="009161FF"/>
    <w:rsid w:val="00916CA0"/>
    <w:rsid w:val="00930824"/>
    <w:rsid w:val="00937749"/>
    <w:rsid w:val="00951142"/>
    <w:rsid w:val="00951586"/>
    <w:rsid w:val="00952ADF"/>
    <w:rsid w:val="00954A1B"/>
    <w:rsid w:val="00970E18"/>
    <w:rsid w:val="00993114"/>
    <w:rsid w:val="00993C64"/>
    <w:rsid w:val="009A7262"/>
    <w:rsid w:val="009B23CD"/>
    <w:rsid w:val="009B54F4"/>
    <w:rsid w:val="009B551E"/>
    <w:rsid w:val="009C1F04"/>
    <w:rsid w:val="009C66EF"/>
    <w:rsid w:val="009D6A8B"/>
    <w:rsid w:val="009F40D5"/>
    <w:rsid w:val="009F4D6F"/>
    <w:rsid w:val="009F5C65"/>
    <w:rsid w:val="009F70E6"/>
    <w:rsid w:val="00A02120"/>
    <w:rsid w:val="00A15FF4"/>
    <w:rsid w:val="00A1712D"/>
    <w:rsid w:val="00A24869"/>
    <w:rsid w:val="00A5062B"/>
    <w:rsid w:val="00A563F4"/>
    <w:rsid w:val="00A56FF8"/>
    <w:rsid w:val="00A61E9A"/>
    <w:rsid w:val="00A62565"/>
    <w:rsid w:val="00A63B49"/>
    <w:rsid w:val="00A65FB0"/>
    <w:rsid w:val="00A705BA"/>
    <w:rsid w:val="00A70C73"/>
    <w:rsid w:val="00A8104C"/>
    <w:rsid w:val="00A82216"/>
    <w:rsid w:val="00A852BC"/>
    <w:rsid w:val="00A90080"/>
    <w:rsid w:val="00AA03F5"/>
    <w:rsid w:val="00AA1BD0"/>
    <w:rsid w:val="00AA3BED"/>
    <w:rsid w:val="00AB487D"/>
    <w:rsid w:val="00AB5AEE"/>
    <w:rsid w:val="00AC0491"/>
    <w:rsid w:val="00AC3F55"/>
    <w:rsid w:val="00AC5C73"/>
    <w:rsid w:val="00AD3F77"/>
    <w:rsid w:val="00AD4C85"/>
    <w:rsid w:val="00AD7138"/>
    <w:rsid w:val="00AD7B01"/>
    <w:rsid w:val="00AF78DE"/>
    <w:rsid w:val="00B05206"/>
    <w:rsid w:val="00B06860"/>
    <w:rsid w:val="00B22E26"/>
    <w:rsid w:val="00B244CA"/>
    <w:rsid w:val="00B37458"/>
    <w:rsid w:val="00B377C4"/>
    <w:rsid w:val="00B46F24"/>
    <w:rsid w:val="00B47634"/>
    <w:rsid w:val="00B60928"/>
    <w:rsid w:val="00B622F2"/>
    <w:rsid w:val="00B71516"/>
    <w:rsid w:val="00B718C5"/>
    <w:rsid w:val="00B72696"/>
    <w:rsid w:val="00B75C9A"/>
    <w:rsid w:val="00B75DBD"/>
    <w:rsid w:val="00B861E9"/>
    <w:rsid w:val="00B93109"/>
    <w:rsid w:val="00B94D10"/>
    <w:rsid w:val="00BA586B"/>
    <w:rsid w:val="00BC74C5"/>
    <w:rsid w:val="00BD0D11"/>
    <w:rsid w:val="00BE2474"/>
    <w:rsid w:val="00BE3003"/>
    <w:rsid w:val="00BE6D8A"/>
    <w:rsid w:val="00BF28B4"/>
    <w:rsid w:val="00C03FCF"/>
    <w:rsid w:val="00C16DD7"/>
    <w:rsid w:val="00C2375A"/>
    <w:rsid w:val="00C34E4B"/>
    <w:rsid w:val="00C456AB"/>
    <w:rsid w:val="00C66C66"/>
    <w:rsid w:val="00C818EC"/>
    <w:rsid w:val="00C86F84"/>
    <w:rsid w:val="00CA5F92"/>
    <w:rsid w:val="00CB0985"/>
    <w:rsid w:val="00CB7C5F"/>
    <w:rsid w:val="00CC7943"/>
    <w:rsid w:val="00CC7AAB"/>
    <w:rsid w:val="00CD14F0"/>
    <w:rsid w:val="00CD54D3"/>
    <w:rsid w:val="00CE4114"/>
    <w:rsid w:val="00CE4479"/>
    <w:rsid w:val="00CE6EB7"/>
    <w:rsid w:val="00CF669F"/>
    <w:rsid w:val="00D0430E"/>
    <w:rsid w:val="00D15FD7"/>
    <w:rsid w:val="00D16A91"/>
    <w:rsid w:val="00D20D10"/>
    <w:rsid w:val="00D26CA2"/>
    <w:rsid w:val="00D314CE"/>
    <w:rsid w:val="00D316ED"/>
    <w:rsid w:val="00D328A0"/>
    <w:rsid w:val="00D5407A"/>
    <w:rsid w:val="00D73091"/>
    <w:rsid w:val="00D86142"/>
    <w:rsid w:val="00D9691A"/>
    <w:rsid w:val="00DA071E"/>
    <w:rsid w:val="00DA2238"/>
    <w:rsid w:val="00DA403E"/>
    <w:rsid w:val="00DA6AE2"/>
    <w:rsid w:val="00DA7729"/>
    <w:rsid w:val="00DD5F1D"/>
    <w:rsid w:val="00DE07DE"/>
    <w:rsid w:val="00DE228F"/>
    <w:rsid w:val="00E03F44"/>
    <w:rsid w:val="00E14912"/>
    <w:rsid w:val="00E1753F"/>
    <w:rsid w:val="00E17581"/>
    <w:rsid w:val="00E20009"/>
    <w:rsid w:val="00E257FA"/>
    <w:rsid w:val="00E26A84"/>
    <w:rsid w:val="00E445B7"/>
    <w:rsid w:val="00E52E54"/>
    <w:rsid w:val="00E53385"/>
    <w:rsid w:val="00E53EAB"/>
    <w:rsid w:val="00E81963"/>
    <w:rsid w:val="00E82717"/>
    <w:rsid w:val="00E82DCF"/>
    <w:rsid w:val="00E8311E"/>
    <w:rsid w:val="00E87781"/>
    <w:rsid w:val="00E972A4"/>
    <w:rsid w:val="00EA591D"/>
    <w:rsid w:val="00EA6902"/>
    <w:rsid w:val="00EA77C5"/>
    <w:rsid w:val="00EC23EC"/>
    <w:rsid w:val="00EC4F9D"/>
    <w:rsid w:val="00ED0F69"/>
    <w:rsid w:val="00ED2E2A"/>
    <w:rsid w:val="00ED4753"/>
    <w:rsid w:val="00EE3F08"/>
    <w:rsid w:val="00EF088E"/>
    <w:rsid w:val="00EF2707"/>
    <w:rsid w:val="00F00168"/>
    <w:rsid w:val="00F05B9C"/>
    <w:rsid w:val="00F1193E"/>
    <w:rsid w:val="00F1450C"/>
    <w:rsid w:val="00F14FB5"/>
    <w:rsid w:val="00F2126F"/>
    <w:rsid w:val="00F42807"/>
    <w:rsid w:val="00F42DA4"/>
    <w:rsid w:val="00F54E21"/>
    <w:rsid w:val="00F57FA0"/>
    <w:rsid w:val="00F63AF2"/>
    <w:rsid w:val="00F654F2"/>
    <w:rsid w:val="00F8065D"/>
    <w:rsid w:val="00F879E4"/>
    <w:rsid w:val="00F91974"/>
    <w:rsid w:val="00F91C19"/>
    <w:rsid w:val="00F938C0"/>
    <w:rsid w:val="00FB1572"/>
    <w:rsid w:val="00FC11BE"/>
    <w:rsid w:val="00FC3455"/>
    <w:rsid w:val="00FC39AC"/>
    <w:rsid w:val="00FC3E51"/>
    <w:rsid w:val="00FC62D8"/>
    <w:rsid w:val="00FC7435"/>
    <w:rsid w:val="00FD1454"/>
    <w:rsid w:val="00FD3393"/>
    <w:rsid w:val="00FD698E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6A8771"/>
  <w15:chartTrackingRefBased/>
  <w15:docId w15:val="{2185A0BD-5DCA-4695-9227-53A8AB8C7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C5F"/>
    <w:pPr>
      <w:adjustRightInd w:val="0"/>
      <w:snapToGrid w:val="0"/>
      <w:spacing w:line="240" w:lineRule="atLeast"/>
      <w:jc w:val="both"/>
    </w:pPr>
    <w:rPr>
      <w:rFonts w:ascii="Minion Pro" w:hAnsi="Minion Pro"/>
      <w:noProof/>
      <w:color w:val="000000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7A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7A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SP11articletype">
    <w:name w:val="TSP_1.1_article_type"/>
    <w:next w:val="Normal"/>
    <w:qFormat/>
    <w:rsid w:val="003A7283"/>
    <w:pPr>
      <w:adjustRightInd w:val="0"/>
      <w:snapToGrid w:val="0"/>
      <w:spacing w:after="240" w:line="240" w:lineRule="atLeast"/>
    </w:pPr>
    <w:rPr>
      <w:rFonts w:ascii="Minion Pro" w:eastAsia="Times New Roman" w:hAnsi="Minion Pro"/>
      <w:b/>
      <w:caps/>
      <w:snapToGrid w:val="0"/>
      <w:color w:val="000000"/>
      <w:sz w:val="18"/>
      <w:szCs w:val="22"/>
      <w:u w:val="single"/>
      <w:lang w:eastAsia="de-DE" w:bidi="en-US"/>
    </w:rPr>
  </w:style>
  <w:style w:type="paragraph" w:customStyle="1" w:styleId="TSP10doinum">
    <w:name w:val="TSP_1.0_doinum"/>
    <w:basedOn w:val="Normal"/>
    <w:qFormat/>
    <w:rsid w:val="003A7283"/>
    <w:pPr>
      <w:spacing w:after="240" w:line="240" w:lineRule="auto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2title">
    <w:name w:val="TSP_1.2_title"/>
    <w:next w:val="Normal"/>
    <w:qFormat/>
    <w:rsid w:val="003A7283"/>
    <w:pPr>
      <w:adjustRightInd w:val="0"/>
      <w:snapToGrid w:val="0"/>
      <w:spacing w:before="240" w:after="240" w:line="240" w:lineRule="atLeast"/>
    </w:pPr>
    <w:rPr>
      <w:rFonts w:ascii="Minion Pro" w:eastAsia="Times New Roman" w:hAnsi="Minion Pro"/>
      <w:b/>
      <w:snapToGrid w:val="0"/>
      <w:color w:val="000000"/>
      <w:sz w:val="28"/>
      <w:lang w:eastAsia="de-DE" w:bidi="en-US"/>
    </w:rPr>
  </w:style>
  <w:style w:type="paragraph" w:customStyle="1" w:styleId="TSP13authornames">
    <w:name w:val="TSP_1.3_authornames"/>
    <w:next w:val="Normal"/>
    <w:qFormat/>
    <w:rsid w:val="003A7283"/>
    <w:pPr>
      <w:adjustRightInd w:val="0"/>
      <w:snapToGrid w:val="0"/>
      <w:spacing w:after="240" w:line="240" w:lineRule="atLeast"/>
    </w:pPr>
    <w:rPr>
      <w:rFonts w:ascii="Minion Pro" w:eastAsia="Times New Roman" w:hAnsi="Minion Pro"/>
      <w:b/>
      <w:color w:val="000000"/>
      <w:sz w:val="22"/>
      <w:szCs w:val="22"/>
      <w:lang w:eastAsia="de-DE" w:bidi="en-US"/>
    </w:rPr>
  </w:style>
  <w:style w:type="paragraph" w:customStyle="1" w:styleId="TSP14history">
    <w:name w:val="TSP_1.4_history"/>
    <w:basedOn w:val="Normal"/>
    <w:next w:val="Normal"/>
    <w:autoRedefine/>
    <w:qFormat/>
    <w:rsid w:val="003A7283"/>
    <w:pPr>
      <w:spacing w:before="60" w:after="24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3A7283"/>
    <w:pPr>
      <w:adjustRightInd w:val="0"/>
      <w:snapToGrid w:val="0"/>
      <w:spacing w:before="120" w:after="120" w:line="240" w:lineRule="atLeast"/>
    </w:pPr>
    <w:rPr>
      <w:rFonts w:ascii="Minion Pro" w:eastAsia="Times New Roman" w:hAnsi="Minion Pro"/>
      <w:color w:val="000000"/>
      <w:sz w:val="18"/>
      <w:szCs w:val="22"/>
      <w:lang w:eastAsia="de-DE" w:bidi="en-US"/>
    </w:rPr>
  </w:style>
  <w:style w:type="paragraph" w:customStyle="1" w:styleId="TSP16affiliation">
    <w:name w:val="TSP_1.6_affiliation"/>
    <w:qFormat/>
    <w:rsid w:val="003A7283"/>
    <w:pPr>
      <w:adjustRightInd w:val="0"/>
      <w:snapToGrid w:val="0"/>
      <w:spacing w:line="240" w:lineRule="atLeast"/>
    </w:pPr>
    <w:rPr>
      <w:rFonts w:ascii="Minion Pro" w:eastAsia="Times New Roman" w:hAnsi="Minion Pro"/>
      <w:color w:val="000000"/>
      <w:sz w:val="18"/>
      <w:szCs w:val="18"/>
      <w:lang w:eastAsia="de-DE" w:bidi="en-US"/>
    </w:rPr>
  </w:style>
  <w:style w:type="paragraph" w:customStyle="1" w:styleId="TSP17abstract">
    <w:name w:val="TSP_1.7_abstract"/>
    <w:next w:val="Normal"/>
    <w:qFormat/>
    <w:rsid w:val="003A7283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color w:val="000000"/>
      <w:szCs w:val="22"/>
      <w:lang w:eastAsia="de-DE" w:bidi="en-US"/>
    </w:rPr>
  </w:style>
  <w:style w:type="paragraph" w:styleId="Footer">
    <w:name w:val="footer"/>
    <w:basedOn w:val="Normal"/>
    <w:link w:val="FooterChar"/>
    <w:uiPriority w:val="99"/>
    <w:qFormat/>
    <w:rsid w:val="00323B01"/>
    <w:pPr>
      <w:tabs>
        <w:tab w:val="center" w:pos="4153"/>
        <w:tab w:val="right" w:pos="8306"/>
      </w:tabs>
      <w:jc w:val="left"/>
    </w:pPr>
    <w:rPr>
      <w:szCs w:val="18"/>
    </w:rPr>
  </w:style>
  <w:style w:type="character" w:customStyle="1" w:styleId="FooterChar">
    <w:name w:val="Footer Char"/>
    <w:link w:val="Footer"/>
    <w:uiPriority w:val="99"/>
    <w:qFormat/>
    <w:rsid w:val="00323B01"/>
    <w:rPr>
      <w:rFonts w:ascii="Minion Pro" w:hAnsi="Minion Pro"/>
      <w:noProof/>
      <w:color w:val="000000"/>
      <w:sz w:val="22"/>
      <w:szCs w:val="18"/>
    </w:rPr>
  </w:style>
  <w:style w:type="paragraph" w:styleId="Header">
    <w:name w:val="header"/>
    <w:basedOn w:val="Normal"/>
    <w:link w:val="HeaderChar"/>
    <w:uiPriority w:val="99"/>
    <w:rsid w:val="00397AC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397AC9"/>
    <w:rPr>
      <w:rFonts w:ascii="Minion Pro" w:hAnsi="Minion Pro"/>
      <w:noProof/>
      <w:color w:val="000000"/>
      <w:szCs w:val="18"/>
    </w:rPr>
  </w:style>
  <w:style w:type="paragraph" w:customStyle="1" w:styleId="TSP18keywords">
    <w:name w:val="TSP_1.8_keywords"/>
    <w:next w:val="Normal"/>
    <w:qFormat/>
    <w:rsid w:val="003A7283"/>
    <w:pPr>
      <w:adjustRightInd w:val="0"/>
      <w:snapToGrid w:val="0"/>
      <w:spacing w:before="240" w:line="240" w:lineRule="atLeast"/>
      <w:jc w:val="both"/>
    </w:pPr>
    <w:rPr>
      <w:rFonts w:ascii="Minion Pro" w:eastAsia="Times New Roman" w:hAnsi="Minion Pro"/>
      <w:snapToGrid w:val="0"/>
      <w:color w:val="000000"/>
      <w:szCs w:val="22"/>
      <w:lang w:eastAsia="de-DE" w:bidi="en-US"/>
    </w:rPr>
  </w:style>
  <w:style w:type="paragraph" w:customStyle="1" w:styleId="TSP19classification">
    <w:name w:val="TSP_1.9_classification"/>
    <w:qFormat/>
    <w:rsid w:val="003A7283"/>
    <w:pPr>
      <w:spacing w:before="240" w:line="240" w:lineRule="atLeast"/>
      <w:jc w:val="both"/>
    </w:pPr>
    <w:rPr>
      <w:rFonts w:ascii="Minion Pro" w:eastAsia="Times New Roman" w:hAnsi="Minion Pro"/>
      <w:b/>
      <w:color w:val="000000"/>
      <w:szCs w:val="22"/>
      <w:lang w:eastAsia="de-DE" w:bidi="en-US"/>
    </w:rPr>
  </w:style>
  <w:style w:type="paragraph" w:customStyle="1" w:styleId="TSP19line">
    <w:name w:val="TSP_1.9_line"/>
    <w:qFormat/>
    <w:rsid w:val="003A7283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szCs w:val="24"/>
      <w:lang w:eastAsia="de-DE" w:bidi="en-US"/>
    </w:rPr>
  </w:style>
  <w:style w:type="paragraph" w:customStyle="1" w:styleId="TSP21heading1">
    <w:name w:val="TSP_2.1_heading1"/>
    <w:qFormat/>
    <w:rsid w:val="003A7283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/>
      <w:b/>
      <w:snapToGrid w:val="0"/>
      <w:color w:val="000000"/>
      <w:sz w:val="22"/>
      <w:szCs w:val="22"/>
      <w:lang w:eastAsia="de-DE" w:bidi="en-US"/>
    </w:rPr>
  </w:style>
  <w:style w:type="paragraph" w:customStyle="1" w:styleId="TSP22heading2">
    <w:name w:val="TSP_2.2_heading2"/>
    <w:qFormat/>
    <w:rsid w:val="003A7283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/>
      <w:b/>
      <w:i/>
      <w:noProof/>
      <w:snapToGrid w:val="0"/>
      <w:color w:val="000000"/>
      <w:sz w:val="22"/>
      <w:szCs w:val="22"/>
      <w:lang w:eastAsia="de-DE" w:bidi="en-US"/>
    </w:rPr>
  </w:style>
  <w:style w:type="paragraph" w:customStyle="1" w:styleId="TSP23heading3">
    <w:name w:val="TSP_2.3_heading3"/>
    <w:qFormat/>
    <w:rsid w:val="003A7283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/>
      <w:i/>
      <w:snapToGrid w:val="0"/>
      <w:color w:val="000000"/>
      <w:sz w:val="22"/>
      <w:szCs w:val="22"/>
      <w:lang w:eastAsia="de-DE" w:bidi="en-US"/>
    </w:rPr>
  </w:style>
  <w:style w:type="paragraph" w:customStyle="1" w:styleId="TSP31text">
    <w:name w:val="TSP_3.1_text"/>
    <w:qFormat/>
    <w:rsid w:val="003A7283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2textnoindent">
    <w:name w:val="TSP_3.2_text_no_indent"/>
    <w:basedOn w:val="TSP31text"/>
    <w:qFormat/>
    <w:rsid w:val="003A7283"/>
    <w:pPr>
      <w:ind w:firstLine="0"/>
    </w:pPr>
  </w:style>
  <w:style w:type="paragraph" w:customStyle="1" w:styleId="TSP33textspaceafter">
    <w:name w:val="TSP_3.3_text_space_after"/>
    <w:qFormat/>
    <w:rsid w:val="003A7283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4textspacebefore">
    <w:name w:val="TSP_3.4_text_space_before"/>
    <w:qFormat/>
    <w:rsid w:val="003A7283"/>
    <w:pPr>
      <w:adjustRightInd w:val="0"/>
      <w:snapToGrid w:val="0"/>
      <w:spacing w:before="24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5textbeforelist">
    <w:name w:val="TSP_3.5_text_before_list"/>
    <w:qFormat/>
    <w:rsid w:val="003A7283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6textafterlist">
    <w:name w:val="TSP_3.6_text_after_list"/>
    <w:qFormat/>
    <w:rsid w:val="003A7283"/>
    <w:pPr>
      <w:adjustRightInd w:val="0"/>
      <w:snapToGrid w:val="0"/>
      <w:spacing w:before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7itemize">
    <w:name w:val="TSP_3.7_itemize"/>
    <w:qFormat/>
    <w:rsid w:val="003A7283"/>
    <w:pPr>
      <w:numPr>
        <w:numId w:val="45"/>
      </w:num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22"/>
      <w:szCs w:val="22"/>
      <w:lang w:eastAsia="de-DE" w:bidi="en-US"/>
    </w:rPr>
  </w:style>
  <w:style w:type="paragraph" w:customStyle="1" w:styleId="TSP38bullet">
    <w:name w:val="TSP_3.8_bullet"/>
    <w:qFormat/>
    <w:rsid w:val="003A7283"/>
    <w:pPr>
      <w:numPr>
        <w:numId w:val="46"/>
      </w:num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22"/>
      <w:szCs w:val="22"/>
      <w:lang w:eastAsia="de-DE" w:bidi="en-US"/>
    </w:rPr>
  </w:style>
  <w:style w:type="paragraph" w:customStyle="1" w:styleId="TSP39equation">
    <w:name w:val="TSP_3.9_equation"/>
    <w:qFormat/>
    <w:rsid w:val="003A7283"/>
    <w:pPr>
      <w:adjustRightInd w:val="0"/>
      <w:snapToGrid w:val="0"/>
      <w:spacing w:before="120" w:after="120" w:line="240" w:lineRule="atLeast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aequationnumber">
    <w:name w:val="TSP_3.a_equation_number"/>
    <w:qFormat/>
    <w:rsid w:val="003A7283"/>
    <w:pPr>
      <w:spacing w:before="120" w:after="120" w:line="240" w:lineRule="atLeast"/>
      <w:jc w:val="right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411onetablecaption">
    <w:name w:val="TSP_4.1.1_one_table_caption"/>
    <w:qFormat/>
    <w:rsid w:val="003A7283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szCs w:val="22"/>
      <w:lang w:bidi="en-US"/>
    </w:rPr>
  </w:style>
  <w:style w:type="paragraph" w:customStyle="1" w:styleId="TSP41tablecaption">
    <w:name w:val="TSP_4.1_table_caption"/>
    <w:qFormat/>
    <w:rsid w:val="003A7283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szCs w:val="22"/>
      <w:lang w:eastAsia="de-DE" w:bidi="en-US"/>
    </w:rPr>
  </w:style>
  <w:style w:type="paragraph" w:customStyle="1" w:styleId="TSP42tablebody">
    <w:name w:val="TSP_4.2_table_body"/>
    <w:qFormat/>
    <w:rsid w:val="003A7283"/>
    <w:pPr>
      <w:adjustRightInd w:val="0"/>
      <w:snapToGrid w:val="0"/>
      <w:spacing w:line="240" w:lineRule="atLeast"/>
      <w:jc w:val="center"/>
    </w:pPr>
    <w:rPr>
      <w:rFonts w:ascii="Minion Pro" w:eastAsia="Times New Roman" w:hAnsi="Minion Pro"/>
      <w:snapToGrid w:val="0"/>
      <w:color w:val="000000"/>
      <w:lang w:eastAsia="de-DE" w:bidi="en-US"/>
    </w:rPr>
  </w:style>
  <w:style w:type="paragraph" w:customStyle="1" w:styleId="TSP43tablefooter">
    <w:name w:val="TSP_4.3_table_footer"/>
    <w:next w:val="TSP31text"/>
    <w:qFormat/>
    <w:rsid w:val="003A7283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szCs w:val="22"/>
      <w:lang w:eastAsia="de-DE" w:bidi="en-US"/>
    </w:rPr>
  </w:style>
  <w:style w:type="paragraph" w:customStyle="1" w:styleId="TSP511onefigurecaption">
    <w:name w:val="TSP_5.1.1_one_figure_caption"/>
    <w:qFormat/>
    <w:rsid w:val="003A7283"/>
    <w:pPr>
      <w:adjustRightInd w:val="0"/>
      <w:snapToGrid w:val="0"/>
      <w:spacing w:before="120" w:after="240" w:line="240" w:lineRule="atLeast"/>
      <w:jc w:val="center"/>
    </w:pPr>
    <w:rPr>
      <w:rFonts w:ascii="Minion Pro" w:hAnsi="Minion Pro"/>
      <w:noProof/>
      <w:color w:val="000000"/>
      <w:lang w:bidi="en-US"/>
    </w:rPr>
  </w:style>
  <w:style w:type="paragraph" w:customStyle="1" w:styleId="TSP51figurecaption">
    <w:name w:val="TSP_5.1_figure_caption"/>
    <w:qFormat/>
    <w:rsid w:val="003A7283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/>
      <w:color w:val="000000"/>
      <w:lang w:eastAsia="de-DE" w:bidi="en-US"/>
    </w:rPr>
  </w:style>
  <w:style w:type="paragraph" w:customStyle="1" w:styleId="TSP52figure">
    <w:name w:val="TSP_5.2_figure"/>
    <w:qFormat/>
    <w:rsid w:val="003A7283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/>
      <w:snapToGrid w:val="0"/>
      <w:color w:val="000000"/>
      <w:lang w:eastAsia="de-DE" w:bidi="en-US"/>
    </w:rPr>
  </w:style>
  <w:style w:type="paragraph" w:styleId="BalloonText">
    <w:name w:val="Balloon Text"/>
    <w:basedOn w:val="Normal"/>
    <w:link w:val="BalloonTextChar"/>
    <w:uiPriority w:val="99"/>
    <w:rsid w:val="00397AC9"/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397AC9"/>
    <w:rPr>
      <w:rFonts w:ascii="Minion Pro" w:hAnsi="Minion Pro" w:cs="Tahoma"/>
      <w:noProof/>
      <w:color w:val="000000"/>
      <w:szCs w:val="18"/>
    </w:rPr>
  </w:style>
  <w:style w:type="character" w:styleId="LineNumber">
    <w:name w:val="line number"/>
    <w:uiPriority w:val="99"/>
    <w:rsid w:val="00397AC9"/>
    <w:rPr>
      <w:rFonts w:ascii="Minion Pro" w:hAnsi="Minion Pro"/>
      <w:sz w:val="16"/>
    </w:rPr>
  </w:style>
  <w:style w:type="paragraph" w:customStyle="1" w:styleId="TSP61Citation">
    <w:name w:val="TSP_6.1_Citation"/>
    <w:qFormat/>
    <w:rsid w:val="003A7283"/>
    <w:pPr>
      <w:adjustRightInd w:val="0"/>
      <w:snapToGrid w:val="0"/>
      <w:spacing w:line="240" w:lineRule="atLeast"/>
    </w:pPr>
    <w:rPr>
      <w:rFonts w:ascii="Minion Pro" w:hAnsi="Minion Pro" w:cs="Cordia New"/>
      <w:sz w:val="22"/>
      <w:szCs w:val="22"/>
    </w:rPr>
  </w:style>
  <w:style w:type="character" w:styleId="Hyperlink">
    <w:name w:val="Hyperlink"/>
    <w:uiPriority w:val="99"/>
    <w:rsid w:val="00397AC9"/>
    <w:rPr>
      <w:color w:val="2F5496" w:themeColor="accent1" w:themeShade="BF"/>
      <w:u w:val="single"/>
    </w:rPr>
  </w:style>
  <w:style w:type="character" w:styleId="UnresolvedMention">
    <w:name w:val="Unresolved Mention"/>
    <w:uiPriority w:val="99"/>
    <w:semiHidden/>
    <w:unhideWhenUsed/>
    <w:rsid w:val="00A65FB0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397AC9"/>
    <w:pPr>
      <w:spacing w:line="260" w:lineRule="atLeast"/>
      <w:jc w:val="both"/>
    </w:pPr>
    <w:rPr>
      <w:rFonts w:ascii="Minion Pro" w:hAnsi="Minion Pro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506BC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SP62BackMatter">
    <w:name w:val="TSP_6.2_BackMatter"/>
    <w:qFormat/>
    <w:rsid w:val="003A7283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/>
      <w:snapToGrid w:val="0"/>
      <w:color w:val="000000"/>
      <w:lang w:eastAsia="en-US" w:bidi="en-US"/>
    </w:rPr>
  </w:style>
  <w:style w:type="paragraph" w:customStyle="1" w:styleId="TSP63Notes">
    <w:name w:val="TSP_6.3_Notes"/>
    <w:qFormat/>
    <w:rsid w:val="003A7283"/>
    <w:pPr>
      <w:adjustRightInd w:val="0"/>
      <w:snapToGrid w:val="0"/>
      <w:spacing w:before="60" w:after="60" w:line="228" w:lineRule="auto"/>
      <w:jc w:val="both"/>
    </w:pPr>
    <w:rPr>
      <w:rFonts w:ascii="Minion Pro" w:hAnsi="Minion Pro"/>
      <w:snapToGrid w:val="0"/>
      <w:color w:val="000000"/>
      <w:sz w:val="18"/>
      <w:lang w:eastAsia="en-US" w:bidi="en-US"/>
    </w:rPr>
  </w:style>
  <w:style w:type="paragraph" w:customStyle="1" w:styleId="TSP71FootNotes">
    <w:name w:val="TSP_7.1_FootNotes"/>
    <w:qFormat/>
    <w:rsid w:val="003A7283"/>
    <w:pPr>
      <w:numPr>
        <w:numId w:val="49"/>
      </w:numPr>
      <w:adjustRightInd w:val="0"/>
      <w:snapToGrid w:val="0"/>
      <w:spacing w:before="60" w:after="60" w:line="228" w:lineRule="auto"/>
      <w:jc w:val="both"/>
    </w:pPr>
    <w:rPr>
      <w:rFonts w:ascii="Minion Pro" w:hAnsi="Minion Pro"/>
      <w:noProof/>
      <w:color w:val="000000"/>
      <w:sz w:val="18"/>
    </w:rPr>
  </w:style>
  <w:style w:type="paragraph" w:customStyle="1" w:styleId="TSP71References">
    <w:name w:val="TSP_7.1_References"/>
    <w:qFormat/>
    <w:rsid w:val="003A7283"/>
    <w:pPr>
      <w:numPr>
        <w:numId w:val="48"/>
      </w:numPr>
      <w:adjustRightInd w:val="0"/>
      <w:snapToGrid w:val="0"/>
      <w:spacing w:line="228" w:lineRule="auto"/>
      <w:jc w:val="both"/>
    </w:pPr>
    <w:rPr>
      <w:rFonts w:ascii="Minion Pro" w:eastAsia="等线" w:hAnsi="Minion Pro"/>
      <w:color w:val="000000"/>
      <w:lang w:eastAsia="de-DE" w:bidi="en-US"/>
    </w:rPr>
  </w:style>
  <w:style w:type="paragraph" w:customStyle="1" w:styleId="TSP72Copyright">
    <w:name w:val="TSP_7.2_Copyright"/>
    <w:qFormat/>
    <w:rsid w:val="003A7283"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noProof/>
      <w:snapToGrid w:val="0"/>
      <w:color w:val="000000"/>
      <w:sz w:val="18"/>
      <w:lang w:val="en-GB" w:eastAsia="en-GB"/>
    </w:rPr>
  </w:style>
  <w:style w:type="paragraph" w:customStyle="1" w:styleId="TSP73CopyrightImage">
    <w:name w:val="TSP_7.3_CopyrightImage"/>
    <w:qFormat/>
    <w:rsid w:val="003A7283"/>
    <w:pPr>
      <w:adjustRightInd w:val="0"/>
      <w:snapToGrid w:val="0"/>
      <w:spacing w:before="20" w:line="228" w:lineRule="auto"/>
    </w:pPr>
    <w:rPr>
      <w:rFonts w:ascii="Minion Pro" w:eastAsia="Times New Roman" w:hAnsi="Minion Pro"/>
      <w:color w:val="000000"/>
      <w:sz w:val="18"/>
      <w:lang w:eastAsia="de-CH"/>
    </w:rPr>
  </w:style>
  <w:style w:type="paragraph" w:customStyle="1" w:styleId="TSP81theorem">
    <w:name w:val="TSP_8.1_theorem"/>
    <w:qFormat/>
    <w:rsid w:val="003A7283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i/>
      <w:snapToGrid w:val="0"/>
      <w:color w:val="000000"/>
      <w:sz w:val="22"/>
      <w:szCs w:val="22"/>
      <w:lang w:eastAsia="de-DE" w:bidi="en-US"/>
    </w:rPr>
  </w:style>
  <w:style w:type="paragraph" w:customStyle="1" w:styleId="TSP82proof">
    <w:name w:val="TSP_8.2_proof"/>
    <w:qFormat/>
    <w:rsid w:val="003A7283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equationFram">
    <w:name w:val="TSP_equationFram"/>
    <w:qFormat/>
    <w:rsid w:val="003A7283"/>
    <w:pPr>
      <w:adjustRightInd w:val="0"/>
      <w:snapToGrid w:val="0"/>
      <w:spacing w:before="120" w:after="120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footer">
    <w:name w:val="TSP_footer"/>
    <w:qFormat/>
    <w:rsid w:val="003A7283"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16"/>
      <w:lang w:eastAsia="de-DE"/>
    </w:rPr>
  </w:style>
  <w:style w:type="paragraph" w:customStyle="1" w:styleId="TSPfooterfirstpage">
    <w:name w:val="TSP_footer_firstpage"/>
    <w:qFormat/>
    <w:rsid w:val="003A7283"/>
    <w:pPr>
      <w:tabs>
        <w:tab w:val="right" w:pos="8845"/>
      </w:tabs>
      <w:suppressAutoHyphens/>
      <w:snapToGrid w:val="0"/>
      <w:spacing w:line="228" w:lineRule="auto"/>
      <w:jc w:val="both"/>
    </w:pPr>
    <w:rPr>
      <w:rFonts w:ascii="Minion Pro" w:eastAsia="Times New Roman" w:hAnsi="Minion Pro"/>
      <w:color w:val="000000"/>
      <w:sz w:val="16"/>
      <w:lang w:eastAsia="de-DE"/>
    </w:rPr>
  </w:style>
  <w:style w:type="paragraph" w:customStyle="1" w:styleId="TSPheader">
    <w:name w:val="TSP_header"/>
    <w:qFormat/>
    <w:rsid w:val="003A7283"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iCs/>
      <w:color w:val="000000"/>
      <w:sz w:val="16"/>
      <w:lang w:eastAsia="de-DE"/>
    </w:rPr>
  </w:style>
  <w:style w:type="paragraph" w:customStyle="1" w:styleId="TSPheadercitation">
    <w:name w:val="TSP_header_citation"/>
    <w:qFormat/>
    <w:rsid w:val="003A7283"/>
    <w:pPr>
      <w:spacing w:line="228" w:lineRule="auto"/>
    </w:pPr>
    <w:rPr>
      <w:rFonts w:ascii="Minion Pro" w:eastAsia="Times New Roman" w:hAnsi="Minion Pro"/>
      <w:snapToGrid w:val="0"/>
      <w:color w:val="000000"/>
      <w:sz w:val="16"/>
      <w:lang w:eastAsia="de-DE" w:bidi="en-US"/>
    </w:rPr>
  </w:style>
  <w:style w:type="paragraph" w:customStyle="1" w:styleId="TSPheaderjournallogo">
    <w:name w:val="TSP_header_journal_logo"/>
    <w:qFormat/>
    <w:rsid w:val="003A7283"/>
    <w:pPr>
      <w:adjustRightInd w:val="0"/>
      <w:snapToGrid w:val="0"/>
      <w:spacing w:line="240" w:lineRule="atLeast"/>
    </w:pPr>
    <w:rPr>
      <w:rFonts w:ascii="Minion Pro" w:eastAsia="Times New Roman" w:hAnsi="Minion Pro"/>
      <w:color w:val="000000"/>
      <w:sz w:val="22"/>
      <w:szCs w:val="22"/>
      <w:lang w:eastAsia="de-CH"/>
    </w:rPr>
  </w:style>
  <w:style w:type="paragraph" w:customStyle="1" w:styleId="TSPheadertsplogo">
    <w:name w:val="TSP_header_tsp_logo"/>
    <w:qFormat/>
    <w:rsid w:val="003A7283"/>
    <w:pPr>
      <w:adjustRightInd w:val="0"/>
      <w:snapToGrid w:val="0"/>
      <w:spacing w:line="240" w:lineRule="atLeast"/>
      <w:jc w:val="right"/>
    </w:pPr>
    <w:rPr>
      <w:rFonts w:ascii="Minion Pro" w:eastAsia="Times New Roman" w:hAnsi="Minion Pro"/>
      <w:color w:val="000000"/>
      <w:sz w:val="22"/>
      <w:szCs w:val="22"/>
      <w:lang w:eastAsia="de-CH"/>
    </w:rPr>
  </w:style>
  <w:style w:type="paragraph" w:customStyle="1" w:styleId="TSPtext">
    <w:name w:val="TSP_text"/>
    <w:qFormat/>
    <w:rsid w:val="003A7283"/>
    <w:pPr>
      <w:snapToGrid w:val="0"/>
      <w:spacing w:line="240" w:lineRule="atLeast"/>
      <w:ind w:firstLine="425"/>
      <w:jc w:val="both"/>
    </w:pPr>
    <w:rPr>
      <w:rFonts w:ascii="Minion Pro" w:eastAsia="Times New Roman" w:hAnsi="Minion Pro"/>
      <w:noProof/>
      <w:snapToGrid w:val="0"/>
      <w:color w:val="000000"/>
      <w:sz w:val="22"/>
      <w:szCs w:val="22"/>
      <w:lang w:eastAsia="de-DE" w:bidi="en-US"/>
    </w:rPr>
  </w:style>
  <w:style w:type="paragraph" w:customStyle="1" w:styleId="TSPtitle">
    <w:name w:val="TSP_title"/>
    <w:qFormat/>
    <w:rsid w:val="003A7283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b/>
      <w:snapToGrid w:val="0"/>
      <w:color w:val="000000"/>
      <w:sz w:val="28"/>
      <w:lang w:eastAsia="de-DE" w:bidi="en-US"/>
    </w:rPr>
  </w:style>
  <w:style w:type="character" w:customStyle="1" w:styleId="apple-converted-space">
    <w:name w:val="apple-converted-space"/>
    <w:rsid w:val="00EA6902"/>
  </w:style>
  <w:style w:type="paragraph" w:styleId="Bibliography">
    <w:name w:val="Bibliography"/>
    <w:basedOn w:val="Normal"/>
    <w:next w:val="Normal"/>
    <w:uiPriority w:val="37"/>
    <w:semiHidden/>
    <w:unhideWhenUsed/>
    <w:rsid w:val="00EA6902"/>
  </w:style>
  <w:style w:type="paragraph" w:styleId="BodyText">
    <w:name w:val="Body Text"/>
    <w:link w:val="BodyTextChar"/>
    <w:uiPriority w:val="1"/>
    <w:qFormat/>
    <w:rsid w:val="00397AC9"/>
    <w:pPr>
      <w:spacing w:after="120" w:line="340" w:lineRule="atLeast"/>
      <w:jc w:val="both"/>
    </w:pPr>
    <w:rPr>
      <w:rFonts w:ascii="Minion Pro" w:hAnsi="Minion Pro"/>
      <w:color w:val="000000"/>
      <w:sz w:val="24"/>
      <w:lang w:eastAsia="de-DE"/>
    </w:rPr>
  </w:style>
  <w:style w:type="character" w:customStyle="1" w:styleId="BodyTextChar">
    <w:name w:val="Body Text Char"/>
    <w:link w:val="BodyText"/>
    <w:uiPriority w:val="1"/>
    <w:qFormat/>
    <w:rsid w:val="00397AC9"/>
    <w:rPr>
      <w:rFonts w:ascii="Minion Pro" w:hAnsi="Minion Pro"/>
      <w:color w:val="000000"/>
      <w:sz w:val="24"/>
      <w:lang w:eastAsia="de-DE"/>
    </w:rPr>
  </w:style>
  <w:style w:type="character" w:styleId="CommentReference">
    <w:name w:val="annotation reference"/>
    <w:rsid w:val="00EA6902"/>
    <w:rPr>
      <w:sz w:val="21"/>
      <w:szCs w:val="21"/>
    </w:rPr>
  </w:style>
  <w:style w:type="paragraph" w:styleId="CommentText">
    <w:name w:val="annotation text"/>
    <w:basedOn w:val="Normal"/>
    <w:link w:val="CommentTextChar"/>
    <w:rsid w:val="00397AC9"/>
  </w:style>
  <w:style w:type="character" w:customStyle="1" w:styleId="CommentTextChar">
    <w:name w:val="Comment Text Char"/>
    <w:link w:val="CommentText"/>
    <w:rsid w:val="00397AC9"/>
    <w:rPr>
      <w:rFonts w:ascii="Minion Pro" w:hAnsi="Minion Pro"/>
      <w:noProof/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397AC9"/>
    <w:rPr>
      <w:b/>
      <w:bCs/>
    </w:rPr>
  </w:style>
  <w:style w:type="character" w:customStyle="1" w:styleId="CommentSubjectChar">
    <w:name w:val="Comment Subject Char"/>
    <w:link w:val="CommentSubject"/>
    <w:rsid w:val="00397AC9"/>
    <w:rPr>
      <w:rFonts w:ascii="Minion Pro" w:hAnsi="Minion Pro"/>
      <w:b/>
      <w:bCs/>
      <w:noProof/>
      <w:color w:val="000000"/>
    </w:rPr>
  </w:style>
  <w:style w:type="character" w:styleId="EndnoteReference">
    <w:name w:val="endnote reference"/>
    <w:rsid w:val="00EA6902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EA6902"/>
    <w:pPr>
      <w:spacing w:line="240" w:lineRule="auto"/>
    </w:pPr>
  </w:style>
  <w:style w:type="character" w:customStyle="1" w:styleId="EndnoteTextChar">
    <w:name w:val="Endnote Text Char"/>
    <w:link w:val="EndnoteText"/>
    <w:semiHidden/>
    <w:rsid w:val="00EA6902"/>
    <w:rPr>
      <w:rFonts w:ascii="Palatino Linotype" w:hAnsi="Palatino Linotype"/>
      <w:noProof/>
      <w:color w:val="000000"/>
    </w:rPr>
  </w:style>
  <w:style w:type="character" w:styleId="FollowedHyperlink">
    <w:name w:val="FollowedHyperlink"/>
    <w:rsid w:val="00EA6902"/>
    <w:rPr>
      <w:color w:val="954F72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EA6902"/>
    <w:pPr>
      <w:spacing w:line="240" w:lineRule="auto"/>
    </w:pPr>
  </w:style>
  <w:style w:type="character" w:customStyle="1" w:styleId="FootnoteTextChar">
    <w:name w:val="Footnote Text Char"/>
    <w:link w:val="FootnoteText"/>
    <w:semiHidden/>
    <w:rsid w:val="00EA6902"/>
    <w:rPr>
      <w:rFonts w:ascii="Palatino Linotype" w:hAnsi="Palatino Linotype"/>
      <w:noProof/>
      <w:color w:val="000000"/>
    </w:rPr>
  </w:style>
  <w:style w:type="paragraph" w:styleId="NormalWeb">
    <w:name w:val="Normal (Web)"/>
    <w:basedOn w:val="Normal"/>
    <w:uiPriority w:val="99"/>
    <w:rsid w:val="00FC62D8"/>
    <w:rPr>
      <w:szCs w:val="24"/>
    </w:rPr>
  </w:style>
  <w:style w:type="paragraph" w:customStyle="1" w:styleId="MsoFootnoteText0">
    <w:name w:val="MsoFootnoteText"/>
    <w:basedOn w:val="NormalWeb"/>
    <w:qFormat/>
    <w:rsid w:val="00397AC9"/>
  </w:style>
  <w:style w:type="character" w:styleId="PageNumber">
    <w:name w:val="page number"/>
    <w:rsid w:val="00374CD6"/>
    <w:rPr>
      <w:rFonts w:ascii="Minion Pro" w:hAnsi="Minion Pro"/>
      <w:sz w:val="20"/>
    </w:rPr>
  </w:style>
  <w:style w:type="character" w:styleId="PlaceholderText">
    <w:name w:val="Placeholder Text"/>
    <w:uiPriority w:val="99"/>
    <w:semiHidden/>
    <w:rsid w:val="00EA6902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397AC9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7AC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</w:rPr>
  </w:style>
  <w:style w:type="paragraph" w:customStyle="1" w:styleId="TSP24heading4">
    <w:name w:val="TSP_2.4_heading4"/>
    <w:basedOn w:val="TSP23heading3"/>
    <w:qFormat/>
    <w:rsid w:val="003A7283"/>
    <w:pPr>
      <w:outlineLvl w:val="3"/>
    </w:pPr>
    <w:rPr>
      <w:i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5764\Desktop\Word%20templates\TSP_OR_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F1B37-ED3E-4358-A5F4-77C08BA86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TSP_OR_template.dot</Template>
  <TotalTime>3</TotalTime>
  <Pages>3</Pages>
  <Words>765</Words>
  <Characters>5015</Characters>
  <Application>Microsoft Office Word</Application>
  <DocSecurity>0</DocSecurity>
  <Lines>75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of the Paper (Article</vt:lpstr>
    </vt:vector>
  </TitlesOfParts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Production Team</dc:creator>
  <cp:keywords/>
  <dc:description/>
  <cp:lastModifiedBy>Tech Science Press</cp:lastModifiedBy>
  <cp:revision>4</cp:revision>
  <cp:lastPrinted>2025-07-25T03:26:00Z</cp:lastPrinted>
  <dcterms:created xsi:type="dcterms:W3CDTF">2026-06-15T01:09:00Z</dcterms:created>
  <dcterms:modified xsi:type="dcterms:W3CDTF">2026-07-01T06:42:00Z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