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25ECC" w14:textId="507187AB" w:rsidR="00BB099D" w:rsidRPr="000977BD" w:rsidRDefault="00BB099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977BD">
        <w:rPr>
          <w:rFonts w:ascii="Times New Roman" w:hAnsi="Times New Roman" w:cs="Times New Roman"/>
          <w:b/>
          <w:bCs/>
          <w:sz w:val="28"/>
          <w:szCs w:val="28"/>
        </w:rPr>
        <w:t xml:space="preserve">Supplementary Materials </w:t>
      </w:r>
    </w:p>
    <w:p w14:paraId="5237A297" w14:textId="4AECFA61" w:rsidR="00BB099D" w:rsidRPr="000977BD" w:rsidRDefault="00BB099D" w:rsidP="00BB099D">
      <w:pPr>
        <w:pStyle w:val="ae"/>
        <w:spacing w:before="0" w:beforeAutospacing="0" w:after="0" w:afterAutospacing="0" w:line="480" w:lineRule="auto"/>
        <w:rPr>
          <w:b/>
          <w:bCs/>
          <w:szCs w:val="22"/>
          <w:lang w:val="en-US"/>
        </w:rPr>
      </w:pPr>
      <w:r w:rsidRPr="000977BD">
        <w:rPr>
          <w:b/>
          <w:bCs/>
          <w:szCs w:val="22"/>
          <w:lang w:val="en-US"/>
        </w:rPr>
        <w:t>Table S1 – Preoperative and post-operative (last follow-up) data on domains of the modified ICIQ-FLUTS LF</w:t>
      </w:r>
    </w:p>
    <w:tbl>
      <w:tblPr>
        <w:tblStyle w:val="af"/>
        <w:tblW w:w="13660" w:type="dxa"/>
        <w:tblLook w:val="04A0" w:firstRow="1" w:lastRow="0" w:firstColumn="1" w:lastColumn="0" w:noHBand="0" w:noVBand="1"/>
      </w:tblPr>
      <w:tblGrid>
        <w:gridCol w:w="1599"/>
        <w:gridCol w:w="633"/>
        <w:gridCol w:w="694"/>
        <w:gridCol w:w="666"/>
        <w:gridCol w:w="733"/>
        <w:gridCol w:w="694"/>
        <w:gridCol w:w="666"/>
        <w:gridCol w:w="733"/>
        <w:gridCol w:w="694"/>
        <w:gridCol w:w="666"/>
        <w:gridCol w:w="633"/>
        <w:gridCol w:w="694"/>
        <w:gridCol w:w="666"/>
        <w:gridCol w:w="633"/>
        <w:gridCol w:w="694"/>
        <w:gridCol w:w="666"/>
        <w:gridCol w:w="633"/>
        <w:gridCol w:w="694"/>
        <w:gridCol w:w="666"/>
      </w:tblGrid>
      <w:tr w:rsidR="00BB099D" w:rsidRPr="000977BD" w14:paraId="7667EA8F" w14:textId="77777777" w:rsidTr="00BB099D">
        <w:trPr>
          <w:trHeight w:val="1058"/>
        </w:trPr>
        <w:tc>
          <w:tcPr>
            <w:tcW w:w="1588" w:type="dxa"/>
            <w:vAlign w:val="center"/>
          </w:tcPr>
          <w:p w14:paraId="3B656C26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979" w:type="dxa"/>
            <w:gridSpan w:val="3"/>
            <w:vAlign w:val="center"/>
          </w:tcPr>
          <w:p w14:paraId="3CF2B9DB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  <w:lang w:val="en-US"/>
              </w:rPr>
              <w:t>Storage domain</w:t>
            </w:r>
          </w:p>
          <w:p w14:paraId="46D0EE69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  <w:lang w:val="en-US"/>
              </w:rPr>
              <w:t>(0-12)</w:t>
            </w:r>
          </w:p>
        </w:tc>
        <w:tc>
          <w:tcPr>
            <w:tcW w:w="2078" w:type="dxa"/>
            <w:gridSpan w:val="3"/>
            <w:vAlign w:val="center"/>
          </w:tcPr>
          <w:p w14:paraId="5857028B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  <w:lang w:val="en-US"/>
              </w:rPr>
              <w:t>Voiding domain</w:t>
            </w:r>
          </w:p>
          <w:p w14:paraId="1D096484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  <w:lang w:val="en-US"/>
              </w:rPr>
              <w:t>(0-19)</w:t>
            </w:r>
          </w:p>
        </w:tc>
        <w:tc>
          <w:tcPr>
            <w:tcW w:w="2078" w:type="dxa"/>
            <w:gridSpan w:val="3"/>
            <w:vAlign w:val="center"/>
          </w:tcPr>
          <w:p w14:paraId="0C61E383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  <w:lang w:val="en-US"/>
              </w:rPr>
              <w:t>Incontinence domain</w:t>
            </w:r>
          </w:p>
          <w:p w14:paraId="2261DDFA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  <w:lang w:val="en-US"/>
              </w:rPr>
              <w:t>(0-24)</w:t>
            </w:r>
          </w:p>
        </w:tc>
        <w:tc>
          <w:tcPr>
            <w:tcW w:w="1979" w:type="dxa"/>
            <w:gridSpan w:val="3"/>
            <w:vAlign w:val="center"/>
          </w:tcPr>
          <w:p w14:paraId="11B22F18" w14:textId="34BD0D13" w:rsidR="00BB099D" w:rsidRPr="000977BD" w:rsidRDefault="00BB099D" w:rsidP="004535BB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  <w:lang w:val="en-US"/>
              </w:rPr>
              <w:t>Post-micturition domain</w:t>
            </w:r>
            <w:r w:rsidR="004535BB" w:rsidRPr="000977BD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977BD">
              <w:rPr>
                <w:b/>
                <w:bCs/>
                <w:sz w:val="20"/>
                <w:szCs w:val="20"/>
                <w:lang w:val="en-US"/>
              </w:rPr>
              <w:t>(0-8)</w:t>
            </w:r>
          </w:p>
        </w:tc>
        <w:tc>
          <w:tcPr>
            <w:tcW w:w="1979" w:type="dxa"/>
            <w:gridSpan w:val="3"/>
            <w:vAlign w:val="center"/>
          </w:tcPr>
          <w:p w14:paraId="5E0FD0C4" w14:textId="21BB2ADD" w:rsidR="00BB099D" w:rsidRPr="000977BD" w:rsidRDefault="00BB099D" w:rsidP="004535BB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  <w:lang w:val="en-US"/>
              </w:rPr>
              <w:t>Bladder pain and burning</w:t>
            </w:r>
            <w:r w:rsidR="004535BB" w:rsidRPr="000977BD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977BD">
              <w:rPr>
                <w:b/>
                <w:bCs/>
                <w:sz w:val="20"/>
                <w:szCs w:val="20"/>
                <w:lang w:val="en-US"/>
              </w:rPr>
              <w:t>(0-8)</w:t>
            </w:r>
          </w:p>
        </w:tc>
        <w:tc>
          <w:tcPr>
            <w:tcW w:w="1979" w:type="dxa"/>
            <w:gridSpan w:val="3"/>
            <w:vAlign w:val="center"/>
          </w:tcPr>
          <w:p w14:paraId="1FC8D389" w14:textId="77777777" w:rsidR="00BB099D" w:rsidRPr="000977BD" w:rsidRDefault="00BB099D" w:rsidP="00785F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77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Stop voiding domain (0-2)</w:t>
            </w:r>
          </w:p>
        </w:tc>
      </w:tr>
      <w:tr w:rsidR="00BB099D" w:rsidRPr="000977BD" w14:paraId="5BC23047" w14:textId="77777777" w:rsidTr="00BB099D">
        <w:trPr>
          <w:trHeight w:val="378"/>
        </w:trPr>
        <w:tc>
          <w:tcPr>
            <w:tcW w:w="1588" w:type="dxa"/>
            <w:vAlign w:val="center"/>
          </w:tcPr>
          <w:p w14:paraId="0B9E6E35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vAlign w:val="center"/>
          </w:tcPr>
          <w:p w14:paraId="57F69D47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PRE</w:t>
            </w:r>
          </w:p>
        </w:tc>
        <w:tc>
          <w:tcPr>
            <w:tcW w:w="689" w:type="dxa"/>
            <w:vAlign w:val="center"/>
          </w:tcPr>
          <w:p w14:paraId="2AFC8536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POST</w:t>
            </w:r>
          </w:p>
        </w:tc>
        <w:tc>
          <w:tcPr>
            <w:tcW w:w="661" w:type="dxa"/>
          </w:tcPr>
          <w:p w14:paraId="348F28FB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</w:t>
            </w:r>
          </w:p>
        </w:tc>
        <w:tc>
          <w:tcPr>
            <w:tcW w:w="728" w:type="dxa"/>
            <w:vAlign w:val="center"/>
          </w:tcPr>
          <w:p w14:paraId="73240025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PRE</w:t>
            </w:r>
          </w:p>
        </w:tc>
        <w:tc>
          <w:tcPr>
            <w:tcW w:w="689" w:type="dxa"/>
            <w:vAlign w:val="center"/>
          </w:tcPr>
          <w:p w14:paraId="472678E9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POST</w:t>
            </w:r>
          </w:p>
        </w:tc>
        <w:tc>
          <w:tcPr>
            <w:tcW w:w="661" w:type="dxa"/>
          </w:tcPr>
          <w:p w14:paraId="29F96B05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</w:t>
            </w:r>
          </w:p>
        </w:tc>
        <w:tc>
          <w:tcPr>
            <w:tcW w:w="728" w:type="dxa"/>
            <w:vAlign w:val="center"/>
          </w:tcPr>
          <w:p w14:paraId="608B79A1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PRE</w:t>
            </w:r>
          </w:p>
        </w:tc>
        <w:tc>
          <w:tcPr>
            <w:tcW w:w="689" w:type="dxa"/>
            <w:vAlign w:val="center"/>
          </w:tcPr>
          <w:p w14:paraId="61C5F505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POST</w:t>
            </w:r>
          </w:p>
        </w:tc>
        <w:tc>
          <w:tcPr>
            <w:tcW w:w="661" w:type="dxa"/>
          </w:tcPr>
          <w:p w14:paraId="0255B15D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</w:t>
            </w:r>
          </w:p>
        </w:tc>
        <w:tc>
          <w:tcPr>
            <w:tcW w:w="628" w:type="dxa"/>
            <w:vAlign w:val="center"/>
          </w:tcPr>
          <w:p w14:paraId="2C81E985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PRE</w:t>
            </w:r>
          </w:p>
        </w:tc>
        <w:tc>
          <w:tcPr>
            <w:tcW w:w="689" w:type="dxa"/>
            <w:vAlign w:val="center"/>
          </w:tcPr>
          <w:p w14:paraId="0EE857A8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POST</w:t>
            </w:r>
          </w:p>
        </w:tc>
        <w:tc>
          <w:tcPr>
            <w:tcW w:w="661" w:type="dxa"/>
          </w:tcPr>
          <w:p w14:paraId="02778554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</w:t>
            </w:r>
          </w:p>
        </w:tc>
        <w:tc>
          <w:tcPr>
            <w:tcW w:w="628" w:type="dxa"/>
            <w:vAlign w:val="center"/>
          </w:tcPr>
          <w:p w14:paraId="3E428AF5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PRE</w:t>
            </w:r>
          </w:p>
        </w:tc>
        <w:tc>
          <w:tcPr>
            <w:tcW w:w="689" w:type="dxa"/>
            <w:vAlign w:val="center"/>
          </w:tcPr>
          <w:p w14:paraId="19D9AFA0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POST</w:t>
            </w:r>
          </w:p>
        </w:tc>
        <w:tc>
          <w:tcPr>
            <w:tcW w:w="661" w:type="dxa"/>
          </w:tcPr>
          <w:p w14:paraId="4F3356B4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</w:t>
            </w:r>
          </w:p>
        </w:tc>
        <w:tc>
          <w:tcPr>
            <w:tcW w:w="628" w:type="dxa"/>
            <w:vAlign w:val="center"/>
          </w:tcPr>
          <w:p w14:paraId="7F921F76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PRE</w:t>
            </w:r>
          </w:p>
        </w:tc>
        <w:tc>
          <w:tcPr>
            <w:tcW w:w="689" w:type="dxa"/>
            <w:vAlign w:val="center"/>
          </w:tcPr>
          <w:p w14:paraId="23CDFD89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POST</w:t>
            </w:r>
          </w:p>
        </w:tc>
        <w:tc>
          <w:tcPr>
            <w:tcW w:w="661" w:type="dxa"/>
          </w:tcPr>
          <w:p w14:paraId="30843A6D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0977BD">
              <w:rPr>
                <w:i/>
                <w:iCs/>
                <w:sz w:val="20"/>
                <w:szCs w:val="20"/>
                <w:lang w:val="en-US"/>
              </w:rPr>
              <w:t>p</w:t>
            </w:r>
          </w:p>
        </w:tc>
      </w:tr>
      <w:tr w:rsidR="00BB099D" w:rsidRPr="000977BD" w14:paraId="2E6F573D" w14:textId="77777777" w:rsidTr="00BB099D">
        <w:trPr>
          <w:trHeight w:val="1058"/>
        </w:trPr>
        <w:tc>
          <w:tcPr>
            <w:tcW w:w="1588" w:type="dxa"/>
            <w:vAlign w:val="center"/>
          </w:tcPr>
          <w:p w14:paraId="43C2F4FA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  <w:lang w:val="en-US"/>
              </w:rPr>
              <w:t xml:space="preserve">Ventral urethroplasty (n: </w:t>
            </w:r>
            <w:proofErr w:type="gramStart"/>
            <w:r w:rsidRPr="000977BD">
              <w:rPr>
                <w:b/>
                <w:bCs/>
                <w:sz w:val="20"/>
                <w:szCs w:val="20"/>
                <w:lang w:val="en-US"/>
              </w:rPr>
              <w:t>61)</w:t>
            </w:r>
            <w:r w:rsidRPr="000977BD">
              <w:rPr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End"/>
            <w:r w:rsidRPr="000977BD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28" w:type="dxa"/>
            <w:vAlign w:val="center"/>
          </w:tcPr>
          <w:p w14:paraId="293CE4DA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7.0 [6.0–9.0]</w:t>
            </w:r>
          </w:p>
        </w:tc>
        <w:tc>
          <w:tcPr>
            <w:tcW w:w="689" w:type="dxa"/>
            <w:vAlign w:val="center"/>
          </w:tcPr>
          <w:p w14:paraId="2024445B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4.0 [3.0–4.0]</w:t>
            </w:r>
          </w:p>
        </w:tc>
        <w:tc>
          <w:tcPr>
            <w:tcW w:w="661" w:type="dxa"/>
          </w:tcPr>
          <w:p w14:paraId="2A5F23A3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&lt; 0.001</w:t>
            </w:r>
          </w:p>
        </w:tc>
        <w:tc>
          <w:tcPr>
            <w:tcW w:w="728" w:type="dxa"/>
          </w:tcPr>
          <w:p w14:paraId="1EE6F01F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14.0 [11.2–16.0]</w:t>
            </w:r>
          </w:p>
        </w:tc>
        <w:tc>
          <w:tcPr>
            <w:tcW w:w="689" w:type="dxa"/>
          </w:tcPr>
          <w:p w14:paraId="1C9688D1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5.0 [3.2–7.0]</w:t>
            </w:r>
          </w:p>
        </w:tc>
        <w:tc>
          <w:tcPr>
            <w:tcW w:w="661" w:type="dxa"/>
          </w:tcPr>
          <w:p w14:paraId="560B6C34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&lt; 0.001</w:t>
            </w:r>
          </w:p>
        </w:tc>
        <w:tc>
          <w:tcPr>
            <w:tcW w:w="728" w:type="dxa"/>
          </w:tcPr>
          <w:p w14:paraId="0F42DC2A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0.5 [0.0–11.0]</w:t>
            </w:r>
          </w:p>
        </w:tc>
        <w:tc>
          <w:tcPr>
            <w:tcW w:w="689" w:type="dxa"/>
          </w:tcPr>
          <w:p w14:paraId="1304DF7F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0.0 [0.0–5.8]</w:t>
            </w:r>
          </w:p>
        </w:tc>
        <w:tc>
          <w:tcPr>
            <w:tcW w:w="661" w:type="dxa"/>
          </w:tcPr>
          <w:p w14:paraId="3CFED35E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&lt; 0.001</w:t>
            </w:r>
          </w:p>
        </w:tc>
        <w:tc>
          <w:tcPr>
            <w:tcW w:w="628" w:type="dxa"/>
          </w:tcPr>
          <w:p w14:paraId="16FF9AE3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6.0 [5.0–7.0]</w:t>
            </w:r>
          </w:p>
        </w:tc>
        <w:tc>
          <w:tcPr>
            <w:tcW w:w="689" w:type="dxa"/>
          </w:tcPr>
          <w:p w14:paraId="66E5B2DB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2.0 [1.0–3.0]</w:t>
            </w:r>
          </w:p>
        </w:tc>
        <w:tc>
          <w:tcPr>
            <w:tcW w:w="661" w:type="dxa"/>
          </w:tcPr>
          <w:p w14:paraId="150B64D6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&lt; 0.001</w:t>
            </w:r>
          </w:p>
        </w:tc>
        <w:tc>
          <w:tcPr>
            <w:tcW w:w="628" w:type="dxa"/>
          </w:tcPr>
          <w:p w14:paraId="71282115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4.0 [3.0–5.0]</w:t>
            </w:r>
          </w:p>
        </w:tc>
        <w:tc>
          <w:tcPr>
            <w:tcW w:w="689" w:type="dxa"/>
          </w:tcPr>
          <w:p w14:paraId="2B8A1D70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1.0 [0.0–1.0]</w:t>
            </w:r>
          </w:p>
        </w:tc>
        <w:tc>
          <w:tcPr>
            <w:tcW w:w="661" w:type="dxa"/>
          </w:tcPr>
          <w:p w14:paraId="6C98206F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&lt; 0.001</w:t>
            </w:r>
          </w:p>
          <w:p w14:paraId="23213EDB" w14:textId="77777777" w:rsidR="00BB099D" w:rsidRPr="000977BD" w:rsidRDefault="00BB099D" w:rsidP="00785FD8">
            <w:pPr>
              <w:rPr>
                <w:rFonts w:ascii="Times New Roman" w:hAnsi="Times New Roman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28" w:type="dxa"/>
          </w:tcPr>
          <w:p w14:paraId="4D752D33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1.0 [0.0–1.0]</w:t>
            </w:r>
          </w:p>
        </w:tc>
        <w:tc>
          <w:tcPr>
            <w:tcW w:w="689" w:type="dxa"/>
          </w:tcPr>
          <w:p w14:paraId="2353EEF9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0.0 [0.0–0.0],</w:t>
            </w:r>
          </w:p>
        </w:tc>
        <w:tc>
          <w:tcPr>
            <w:tcW w:w="661" w:type="dxa"/>
          </w:tcPr>
          <w:p w14:paraId="66037A15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&lt; 0.001</w:t>
            </w:r>
          </w:p>
        </w:tc>
      </w:tr>
      <w:tr w:rsidR="00BB099D" w:rsidRPr="000977BD" w14:paraId="7FCFE849" w14:textId="77777777" w:rsidTr="00BB099D">
        <w:trPr>
          <w:trHeight w:val="1050"/>
        </w:trPr>
        <w:tc>
          <w:tcPr>
            <w:tcW w:w="1588" w:type="dxa"/>
            <w:vAlign w:val="center"/>
          </w:tcPr>
          <w:p w14:paraId="00729050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  <w:lang w:val="en-US"/>
              </w:rPr>
              <w:t>Dorsal urethroplasty (n:13)</w:t>
            </w:r>
          </w:p>
        </w:tc>
        <w:tc>
          <w:tcPr>
            <w:tcW w:w="628" w:type="dxa"/>
            <w:vAlign w:val="center"/>
          </w:tcPr>
          <w:p w14:paraId="4616F5AC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5.0 [3.0–5.0]</w:t>
            </w:r>
          </w:p>
        </w:tc>
        <w:tc>
          <w:tcPr>
            <w:tcW w:w="689" w:type="dxa"/>
            <w:vAlign w:val="center"/>
          </w:tcPr>
          <w:p w14:paraId="79DBB28E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3.0 [2.0–3.0]</w:t>
            </w:r>
          </w:p>
        </w:tc>
        <w:tc>
          <w:tcPr>
            <w:tcW w:w="661" w:type="dxa"/>
          </w:tcPr>
          <w:p w14:paraId="7C5DEC8A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0.007</w:t>
            </w:r>
          </w:p>
        </w:tc>
        <w:tc>
          <w:tcPr>
            <w:tcW w:w="728" w:type="dxa"/>
          </w:tcPr>
          <w:p w14:paraId="3A486D2F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13.0 [12.0–16.0]</w:t>
            </w:r>
          </w:p>
        </w:tc>
        <w:tc>
          <w:tcPr>
            <w:tcW w:w="689" w:type="dxa"/>
          </w:tcPr>
          <w:p w14:paraId="07917214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4.0 [3.0–5.0]</w:t>
            </w:r>
          </w:p>
        </w:tc>
        <w:tc>
          <w:tcPr>
            <w:tcW w:w="661" w:type="dxa"/>
          </w:tcPr>
          <w:p w14:paraId="71D2201C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&lt; 0.001</w:t>
            </w:r>
          </w:p>
        </w:tc>
        <w:tc>
          <w:tcPr>
            <w:tcW w:w="728" w:type="dxa"/>
          </w:tcPr>
          <w:p w14:paraId="2526D0E1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5.0 [4.0–8.0]</w:t>
            </w:r>
          </w:p>
        </w:tc>
        <w:tc>
          <w:tcPr>
            <w:tcW w:w="689" w:type="dxa"/>
          </w:tcPr>
          <w:p w14:paraId="5D280135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4.0 [4.0–6.0]</w:t>
            </w:r>
          </w:p>
        </w:tc>
        <w:tc>
          <w:tcPr>
            <w:tcW w:w="661" w:type="dxa"/>
          </w:tcPr>
          <w:p w14:paraId="62C3344E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  <w:lang w:val="en-US"/>
              </w:rPr>
              <w:t>0.06</w:t>
            </w:r>
          </w:p>
        </w:tc>
        <w:tc>
          <w:tcPr>
            <w:tcW w:w="628" w:type="dxa"/>
          </w:tcPr>
          <w:p w14:paraId="75BA7D4F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6.0 [6.0–6.0]</w:t>
            </w:r>
          </w:p>
        </w:tc>
        <w:tc>
          <w:tcPr>
            <w:tcW w:w="689" w:type="dxa"/>
          </w:tcPr>
          <w:p w14:paraId="0E662BE6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0.0 [0.0–0.0]</w:t>
            </w:r>
          </w:p>
        </w:tc>
        <w:tc>
          <w:tcPr>
            <w:tcW w:w="661" w:type="dxa"/>
          </w:tcPr>
          <w:p w14:paraId="00AED520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&lt; 0.001</w:t>
            </w:r>
          </w:p>
        </w:tc>
        <w:tc>
          <w:tcPr>
            <w:tcW w:w="628" w:type="dxa"/>
          </w:tcPr>
          <w:p w14:paraId="4E32D370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3.0 [2.0–3.0]</w:t>
            </w:r>
          </w:p>
        </w:tc>
        <w:tc>
          <w:tcPr>
            <w:tcW w:w="689" w:type="dxa"/>
          </w:tcPr>
          <w:p w14:paraId="0EE64CFA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0.0 [0.0–1.0]</w:t>
            </w:r>
          </w:p>
        </w:tc>
        <w:tc>
          <w:tcPr>
            <w:tcW w:w="661" w:type="dxa"/>
          </w:tcPr>
          <w:p w14:paraId="3423D73B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  <w:lang w:val="en-US"/>
              </w:rPr>
              <w:t>0.002</w:t>
            </w:r>
          </w:p>
        </w:tc>
        <w:tc>
          <w:tcPr>
            <w:tcW w:w="628" w:type="dxa"/>
          </w:tcPr>
          <w:p w14:paraId="5E04C60D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1.0 [1.0–2.0]</w:t>
            </w:r>
          </w:p>
        </w:tc>
        <w:tc>
          <w:tcPr>
            <w:tcW w:w="689" w:type="dxa"/>
          </w:tcPr>
          <w:p w14:paraId="782ED5D5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2.0 [0.0–2.0]</w:t>
            </w:r>
          </w:p>
        </w:tc>
        <w:tc>
          <w:tcPr>
            <w:tcW w:w="661" w:type="dxa"/>
          </w:tcPr>
          <w:p w14:paraId="37CE48E9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  <w:lang w:val="en-US"/>
              </w:rPr>
              <w:t>0.66</w:t>
            </w:r>
          </w:p>
        </w:tc>
      </w:tr>
      <w:tr w:rsidR="00BB099D" w:rsidRPr="000977BD" w14:paraId="3424439C" w14:textId="77777777" w:rsidTr="00BB099D">
        <w:trPr>
          <w:trHeight w:val="532"/>
        </w:trPr>
        <w:tc>
          <w:tcPr>
            <w:tcW w:w="1588" w:type="dxa"/>
            <w:vAlign w:val="center"/>
          </w:tcPr>
          <w:p w14:paraId="660F29F5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vertAlign w:val="superscript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  <w:lang w:val="en-US"/>
              </w:rPr>
              <w:t>Urethral mass (n: 10)</w:t>
            </w:r>
          </w:p>
        </w:tc>
        <w:tc>
          <w:tcPr>
            <w:tcW w:w="628" w:type="dxa"/>
            <w:vAlign w:val="center"/>
          </w:tcPr>
          <w:p w14:paraId="6EC99C81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5.0 [4.0–6.0]</w:t>
            </w:r>
          </w:p>
        </w:tc>
        <w:tc>
          <w:tcPr>
            <w:tcW w:w="689" w:type="dxa"/>
            <w:vAlign w:val="center"/>
          </w:tcPr>
          <w:p w14:paraId="4785EE69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3.0 [2.2–3.8]</w:t>
            </w:r>
          </w:p>
        </w:tc>
        <w:tc>
          <w:tcPr>
            <w:tcW w:w="661" w:type="dxa"/>
          </w:tcPr>
          <w:p w14:paraId="7817FB32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  <w:lang w:val="en-US"/>
              </w:rPr>
              <w:t>0.007</w:t>
            </w:r>
          </w:p>
        </w:tc>
        <w:tc>
          <w:tcPr>
            <w:tcW w:w="728" w:type="dxa"/>
          </w:tcPr>
          <w:p w14:paraId="4B0CB130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8.0 [7.0–10.8]</w:t>
            </w:r>
          </w:p>
        </w:tc>
        <w:tc>
          <w:tcPr>
            <w:tcW w:w="689" w:type="dxa"/>
          </w:tcPr>
          <w:p w14:paraId="40F65A60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7.0 [6.2–7.0]</w:t>
            </w:r>
          </w:p>
        </w:tc>
        <w:tc>
          <w:tcPr>
            <w:tcW w:w="661" w:type="dxa"/>
          </w:tcPr>
          <w:p w14:paraId="45F5E9D8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0.017</w:t>
            </w:r>
          </w:p>
        </w:tc>
        <w:tc>
          <w:tcPr>
            <w:tcW w:w="728" w:type="dxa"/>
          </w:tcPr>
          <w:p w14:paraId="0618DC90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8.0 [6.2–9.8]</w:t>
            </w:r>
          </w:p>
        </w:tc>
        <w:tc>
          <w:tcPr>
            <w:tcW w:w="689" w:type="dxa"/>
          </w:tcPr>
          <w:p w14:paraId="02D232AB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6.0 [5.2–7.8]</w:t>
            </w:r>
          </w:p>
        </w:tc>
        <w:tc>
          <w:tcPr>
            <w:tcW w:w="661" w:type="dxa"/>
          </w:tcPr>
          <w:p w14:paraId="54EE7FFE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  <w:lang w:val="en-US"/>
              </w:rPr>
              <w:t>0.11</w:t>
            </w:r>
          </w:p>
        </w:tc>
        <w:tc>
          <w:tcPr>
            <w:tcW w:w="628" w:type="dxa"/>
          </w:tcPr>
          <w:p w14:paraId="5CB1241E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4.0 [4.0–4.8]</w:t>
            </w:r>
          </w:p>
        </w:tc>
        <w:tc>
          <w:tcPr>
            <w:tcW w:w="689" w:type="dxa"/>
          </w:tcPr>
          <w:p w14:paraId="12C37283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0.0 [0.0–0.8]</w:t>
            </w:r>
          </w:p>
        </w:tc>
        <w:tc>
          <w:tcPr>
            <w:tcW w:w="661" w:type="dxa"/>
          </w:tcPr>
          <w:p w14:paraId="6F0CB65F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0.002</w:t>
            </w:r>
          </w:p>
        </w:tc>
        <w:tc>
          <w:tcPr>
            <w:tcW w:w="628" w:type="dxa"/>
          </w:tcPr>
          <w:p w14:paraId="55BD4FD9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3.0 [2.0–4.0]</w:t>
            </w:r>
          </w:p>
        </w:tc>
        <w:tc>
          <w:tcPr>
            <w:tcW w:w="689" w:type="dxa"/>
          </w:tcPr>
          <w:p w14:paraId="5AAD230E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0.5 [0.0–1.0]</w:t>
            </w:r>
          </w:p>
        </w:tc>
        <w:tc>
          <w:tcPr>
            <w:tcW w:w="661" w:type="dxa"/>
          </w:tcPr>
          <w:p w14:paraId="3F26A727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0.002</w:t>
            </w:r>
          </w:p>
        </w:tc>
        <w:tc>
          <w:tcPr>
            <w:tcW w:w="628" w:type="dxa"/>
          </w:tcPr>
          <w:p w14:paraId="48E75F8E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1.0 [0.0–1.0]</w:t>
            </w:r>
          </w:p>
        </w:tc>
        <w:tc>
          <w:tcPr>
            <w:tcW w:w="689" w:type="dxa"/>
          </w:tcPr>
          <w:p w14:paraId="6F49A300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1.5 [0.2–2.0]</w:t>
            </w:r>
          </w:p>
        </w:tc>
        <w:tc>
          <w:tcPr>
            <w:tcW w:w="661" w:type="dxa"/>
          </w:tcPr>
          <w:p w14:paraId="76FF1DB9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  <w:lang w:val="en-US"/>
              </w:rPr>
              <w:t>0.27</w:t>
            </w:r>
          </w:p>
        </w:tc>
      </w:tr>
      <w:tr w:rsidR="00BB099D" w:rsidRPr="000977BD" w14:paraId="5147D653" w14:textId="77777777" w:rsidTr="00BB099D">
        <w:trPr>
          <w:trHeight w:val="1058"/>
        </w:trPr>
        <w:tc>
          <w:tcPr>
            <w:tcW w:w="1588" w:type="dxa"/>
            <w:vAlign w:val="center"/>
          </w:tcPr>
          <w:p w14:paraId="6E4285D2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vertAlign w:val="superscript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  <w:lang w:val="en-US"/>
              </w:rPr>
              <w:t>Female </w:t>
            </w:r>
            <w:r w:rsidRPr="000977BD">
              <w:rPr>
                <w:rFonts w:eastAsiaTheme="majorEastAsia"/>
                <w:b/>
                <w:bCs/>
                <w:sz w:val="20"/>
                <w:szCs w:val="20"/>
                <w:lang w:val="en-US"/>
              </w:rPr>
              <w:t>urethral diverticulum (n:</w:t>
            </w:r>
            <w:proofErr w:type="gramStart"/>
            <w:r w:rsidRPr="000977BD">
              <w:rPr>
                <w:rFonts w:eastAsiaTheme="majorEastAsia"/>
                <w:b/>
                <w:bCs/>
                <w:sz w:val="20"/>
                <w:szCs w:val="20"/>
                <w:lang w:val="en-US"/>
              </w:rPr>
              <w:t>30)</w:t>
            </w:r>
            <w:r w:rsidRPr="000977BD">
              <w:rPr>
                <w:rFonts w:eastAsiaTheme="majorEastAsia"/>
                <w:b/>
                <w:bCs/>
                <w:sz w:val="20"/>
                <w:szCs w:val="20"/>
                <w:vertAlign w:val="superscript"/>
                <w:lang w:val="en-US"/>
              </w:rPr>
              <w:t>b</w:t>
            </w:r>
            <w:proofErr w:type="gramEnd"/>
          </w:p>
        </w:tc>
        <w:tc>
          <w:tcPr>
            <w:tcW w:w="628" w:type="dxa"/>
            <w:vAlign w:val="center"/>
          </w:tcPr>
          <w:p w14:paraId="0914B471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6.0 [4.5–7.0]</w:t>
            </w:r>
            <w:r w:rsidRPr="000977BD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89" w:type="dxa"/>
            <w:vAlign w:val="center"/>
          </w:tcPr>
          <w:p w14:paraId="7A5AFCEF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3.0 [3.0–4.0]</w:t>
            </w:r>
          </w:p>
        </w:tc>
        <w:tc>
          <w:tcPr>
            <w:tcW w:w="661" w:type="dxa"/>
          </w:tcPr>
          <w:p w14:paraId="0FA64B46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&lt; 0.001</w:t>
            </w:r>
          </w:p>
        </w:tc>
        <w:tc>
          <w:tcPr>
            <w:tcW w:w="728" w:type="dxa"/>
          </w:tcPr>
          <w:p w14:paraId="79A26603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10.0 [9.0–11.0]</w:t>
            </w:r>
          </w:p>
        </w:tc>
        <w:tc>
          <w:tcPr>
            <w:tcW w:w="689" w:type="dxa"/>
          </w:tcPr>
          <w:p w14:paraId="66307A06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6.0 [5.0–8.0]</w:t>
            </w:r>
          </w:p>
        </w:tc>
        <w:tc>
          <w:tcPr>
            <w:tcW w:w="661" w:type="dxa"/>
          </w:tcPr>
          <w:p w14:paraId="6CC6189C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&lt; 0.001</w:t>
            </w:r>
          </w:p>
        </w:tc>
        <w:tc>
          <w:tcPr>
            <w:tcW w:w="728" w:type="dxa"/>
          </w:tcPr>
          <w:p w14:paraId="06AB101D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13.0 [11.0–15.0]</w:t>
            </w:r>
          </w:p>
          <w:p w14:paraId="6B95CA53" w14:textId="77777777" w:rsidR="00BB099D" w:rsidRPr="000977BD" w:rsidRDefault="00BB099D" w:rsidP="00785FD8">
            <w:pPr>
              <w:rPr>
                <w:rFonts w:ascii="Times New Roman" w:hAnsi="Times New Roman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89" w:type="dxa"/>
          </w:tcPr>
          <w:p w14:paraId="6C7FCF48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8.0 [7.0–9.0]</w:t>
            </w:r>
          </w:p>
        </w:tc>
        <w:tc>
          <w:tcPr>
            <w:tcW w:w="661" w:type="dxa"/>
          </w:tcPr>
          <w:p w14:paraId="7E3FE42E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&lt; 0.001</w:t>
            </w:r>
          </w:p>
        </w:tc>
        <w:tc>
          <w:tcPr>
            <w:tcW w:w="628" w:type="dxa"/>
          </w:tcPr>
          <w:p w14:paraId="7421AF9F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6.0 [5.0–6.0]</w:t>
            </w:r>
          </w:p>
        </w:tc>
        <w:tc>
          <w:tcPr>
            <w:tcW w:w="689" w:type="dxa"/>
          </w:tcPr>
          <w:p w14:paraId="4B5B4ACA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0.0 [0.0–0.0]</w:t>
            </w:r>
          </w:p>
        </w:tc>
        <w:tc>
          <w:tcPr>
            <w:tcW w:w="661" w:type="dxa"/>
          </w:tcPr>
          <w:p w14:paraId="0851141C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&lt; 0.001</w:t>
            </w:r>
          </w:p>
        </w:tc>
        <w:tc>
          <w:tcPr>
            <w:tcW w:w="628" w:type="dxa"/>
          </w:tcPr>
          <w:p w14:paraId="297D18CA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4.0 [4.0–4.5]</w:t>
            </w:r>
          </w:p>
        </w:tc>
        <w:tc>
          <w:tcPr>
            <w:tcW w:w="689" w:type="dxa"/>
          </w:tcPr>
          <w:p w14:paraId="3F2CD413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0.0 [0.0–1.0]</w:t>
            </w:r>
          </w:p>
        </w:tc>
        <w:tc>
          <w:tcPr>
            <w:tcW w:w="661" w:type="dxa"/>
          </w:tcPr>
          <w:p w14:paraId="35D0BCD0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77BD">
              <w:rPr>
                <w:b/>
                <w:bCs/>
                <w:sz w:val="20"/>
                <w:szCs w:val="20"/>
              </w:rPr>
              <w:t>&lt; 0.001</w:t>
            </w:r>
          </w:p>
        </w:tc>
        <w:tc>
          <w:tcPr>
            <w:tcW w:w="628" w:type="dxa"/>
          </w:tcPr>
          <w:p w14:paraId="23E83E39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1.0 [0.0–2.0]</w:t>
            </w:r>
          </w:p>
          <w:p w14:paraId="1FA7CF33" w14:textId="77777777" w:rsidR="00BB099D" w:rsidRPr="000977BD" w:rsidRDefault="00BB099D" w:rsidP="00785FD8">
            <w:pPr>
              <w:rPr>
                <w:rFonts w:ascii="Times New Roman" w:hAnsi="Times New Roman" w:cs="Times New Roman"/>
                <w:sz w:val="20"/>
                <w:szCs w:val="20"/>
                <w:lang w:val="en-US" w:eastAsia="it-IT"/>
              </w:rPr>
            </w:pPr>
          </w:p>
        </w:tc>
        <w:tc>
          <w:tcPr>
            <w:tcW w:w="689" w:type="dxa"/>
          </w:tcPr>
          <w:p w14:paraId="03C49DBD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n-US"/>
              </w:rPr>
            </w:pPr>
            <w:r w:rsidRPr="000977BD">
              <w:rPr>
                <w:sz w:val="20"/>
                <w:szCs w:val="20"/>
              </w:rPr>
              <w:t>1.0 [0.0–1.0]</w:t>
            </w:r>
          </w:p>
        </w:tc>
        <w:tc>
          <w:tcPr>
            <w:tcW w:w="661" w:type="dxa"/>
          </w:tcPr>
          <w:p w14:paraId="28E416B5" w14:textId="77777777" w:rsidR="00BB099D" w:rsidRPr="000977BD" w:rsidRDefault="00BB099D" w:rsidP="00785FD8">
            <w:pPr>
              <w:pStyle w:val="ae"/>
              <w:spacing w:before="0" w:beforeAutospacing="0" w:after="0" w:afterAutospacing="0" w:line="480" w:lineRule="auto"/>
              <w:jc w:val="center"/>
              <w:rPr>
                <w:sz w:val="20"/>
                <w:szCs w:val="20"/>
                <w:lang w:val="es-ES"/>
              </w:rPr>
            </w:pPr>
            <w:r w:rsidRPr="000977BD">
              <w:rPr>
                <w:sz w:val="20"/>
                <w:szCs w:val="20"/>
                <w:lang w:val="en-US"/>
              </w:rPr>
              <w:t>0.65</w:t>
            </w:r>
          </w:p>
        </w:tc>
      </w:tr>
    </w:tbl>
    <w:p w14:paraId="5005B46B" w14:textId="42288C9B" w:rsidR="00523444" w:rsidRPr="00523444" w:rsidRDefault="00BB099D" w:rsidP="00BB099D">
      <w:pPr>
        <w:pStyle w:val="ae"/>
        <w:spacing w:before="0" w:beforeAutospacing="0" w:after="0" w:afterAutospacing="0" w:line="480" w:lineRule="auto"/>
        <w:rPr>
          <w:rFonts w:eastAsiaTheme="minorEastAsia"/>
          <w:szCs w:val="22"/>
          <w:lang w:val="en-US" w:eastAsia="zh-CN"/>
        </w:rPr>
      </w:pPr>
      <w:proofErr w:type="spellStart"/>
      <w:proofErr w:type="gramStart"/>
      <w:r w:rsidRPr="000977BD">
        <w:rPr>
          <w:szCs w:val="22"/>
          <w:vertAlign w:val="superscript"/>
          <w:lang w:val="en-US"/>
        </w:rPr>
        <w:lastRenderedPageBreak/>
        <w:t>a,b</w:t>
      </w:r>
      <w:proofErr w:type="spellEnd"/>
      <w:proofErr w:type="gramEnd"/>
      <w:r w:rsidRPr="000977BD">
        <w:rPr>
          <w:szCs w:val="22"/>
          <w:lang w:val="en-US"/>
        </w:rPr>
        <w:t xml:space="preserve"> One patient in ventral urethroplasty and diverticulum group respectively did not respond to post-operative questionnaire at last follow-up. </w:t>
      </w:r>
      <w:r w:rsidR="004535BB" w:rsidRPr="000977BD">
        <w:rPr>
          <w:szCs w:val="22"/>
          <w:lang w:val="en-US"/>
        </w:rPr>
        <w:t>Bold values indicate statistically significant differences (</w:t>
      </w:r>
      <w:r w:rsidR="004535BB" w:rsidRPr="00365B47">
        <w:rPr>
          <w:i/>
          <w:szCs w:val="22"/>
          <w:lang w:val="en-US"/>
        </w:rPr>
        <w:t xml:space="preserve">p </w:t>
      </w:r>
      <w:r w:rsidR="004535BB" w:rsidRPr="000977BD">
        <w:rPr>
          <w:szCs w:val="22"/>
          <w:lang w:val="en-US"/>
        </w:rPr>
        <w:t xml:space="preserve">&lt; 0.05). </w:t>
      </w:r>
      <w:r w:rsidR="00523444" w:rsidRPr="000977BD">
        <w:rPr>
          <w:rFonts w:eastAsiaTheme="minorEastAsia"/>
          <w:szCs w:val="22"/>
          <w:lang w:val="en-US" w:eastAsia="zh-CN"/>
        </w:rPr>
        <w:t xml:space="preserve"> ICIQ-FLUTS LF</w:t>
      </w:r>
      <w:r w:rsidR="00523444" w:rsidRPr="000977BD">
        <w:rPr>
          <w:rFonts w:eastAsiaTheme="minorEastAsia" w:hint="eastAsia"/>
          <w:szCs w:val="22"/>
          <w:lang w:val="en-US" w:eastAsia="zh-CN"/>
        </w:rPr>
        <w:t>:</w:t>
      </w:r>
      <w:r w:rsidR="004535BB" w:rsidRPr="000977BD">
        <w:rPr>
          <w:rFonts w:eastAsiaTheme="minorEastAsia"/>
          <w:szCs w:val="22"/>
          <w:lang w:val="en-US" w:eastAsia="zh-CN"/>
        </w:rPr>
        <w:t xml:space="preserve"> International Consultation on Incontinence Questionnaire Female Lower Urinary Tract Symptoms long form</w:t>
      </w:r>
      <w:r w:rsidR="00523444" w:rsidRPr="000977BD">
        <w:rPr>
          <w:rFonts w:eastAsiaTheme="minorEastAsia" w:hint="eastAsia"/>
          <w:szCs w:val="22"/>
          <w:lang w:val="en-US" w:eastAsia="zh-CN"/>
        </w:rPr>
        <w:t xml:space="preserve">; </w:t>
      </w:r>
      <w:r w:rsidR="00523444" w:rsidRPr="000977BD">
        <w:rPr>
          <w:rFonts w:eastAsiaTheme="minorEastAsia"/>
          <w:szCs w:val="22"/>
          <w:lang w:val="en-US" w:eastAsia="zh-CN"/>
        </w:rPr>
        <w:t>PRE</w:t>
      </w:r>
      <w:r w:rsidR="00523444" w:rsidRPr="000977BD">
        <w:rPr>
          <w:rFonts w:eastAsiaTheme="minorEastAsia" w:hint="eastAsia"/>
          <w:szCs w:val="22"/>
          <w:lang w:val="en-US" w:eastAsia="zh-CN"/>
        </w:rPr>
        <w:t>:</w:t>
      </w:r>
      <w:r w:rsidR="004535BB" w:rsidRPr="000977BD">
        <w:rPr>
          <w:rFonts w:eastAsiaTheme="minorEastAsia"/>
          <w:szCs w:val="22"/>
          <w:lang w:val="en-US" w:eastAsia="zh-CN"/>
        </w:rPr>
        <w:t xml:space="preserve"> Pre-operative values</w:t>
      </w:r>
      <w:r w:rsidR="00523444" w:rsidRPr="000977BD">
        <w:rPr>
          <w:rFonts w:eastAsiaTheme="minorEastAsia" w:hint="eastAsia"/>
          <w:szCs w:val="22"/>
          <w:lang w:val="en-US" w:eastAsia="zh-CN"/>
        </w:rPr>
        <w:t xml:space="preserve">; </w:t>
      </w:r>
      <w:r w:rsidR="00523444" w:rsidRPr="000977BD">
        <w:rPr>
          <w:rFonts w:eastAsiaTheme="minorEastAsia"/>
          <w:szCs w:val="22"/>
          <w:lang w:val="en-US" w:eastAsia="zh-CN"/>
        </w:rPr>
        <w:t>POST</w:t>
      </w:r>
      <w:r w:rsidR="00523444" w:rsidRPr="000977BD">
        <w:rPr>
          <w:rFonts w:eastAsiaTheme="minorEastAsia" w:hint="eastAsia"/>
          <w:szCs w:val="22"/>
          <w:lang w:val="en-US" w:eastAsia="zh-CN"/>
        </w:rPr>
        <w:t>:</w:t>
      </w:r>
      <w:r w:rsidR="00365B47">
        <w:rPr>
          <w:rFonts w:eastAsiaTheme="minorEastAsia"/>
          <w:szCs w:val="22"/>
          <w:lang w:val="en-US" w:eastAsia="zh-CN"/>
        </w:rPr>
        <w:t xml:space="preserve"> </w:t>
      </w:r>
      <w:bookmarkStart w:id="0" w:name="_GoBack"/>
      <w:bookmarkEnd w:id="0"/>
      <w:r w:rsidR="004535BB" w:rsidRPr="000977BD">
        <w:rPr>
          <w:rFonts w:eastAsiaTheme="minorEastAsia"/>
          <w:szCs w:val="22"/>
          <w:lang w:val="en-US" w:eastAsia="zh-CN"/>
        </w:rPr>
        <w:t>Post-operative values</w:t>
      </w:r>
      <w:r w:rsidR="00523444" w:rsidRPr="000977BD">
        <w:rPr>
          <w:rFonts w:eastAsiaTheme="minorEastAsia" w:hint="eastAsia"/>
          <w:szCs w:val="22"/>
          <w:lang w:val="en-US" w:eastAsia="zh-CN"/>
        </w:rPr>
        <w:t>;</w:t>
      </w:r>
      <w:r w:rsidR="00523444">
        <w:rPr>
          <w:rFonts w:eastAsiaTheme="minorEastAsia" w:hint="eastAsia"/>
          <w:szCs w:val="22"/>
          <w:lang w:val="en-US" w:eastAsia="zh-CN"/>
        </w:rPr>
        <w:t xml:space="preserve"> </w:t>
      </w:r>
    </w:p>
    <w:sectPr w:rsidR="00523444" w:rsidRPr="00523444" w:rsidSect="00BB099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F7E8B" w14:textId="77777777" w:rsidR="00FC73CB" w:rsidRDefault="00FC73CB" w:rsidP="0000050F">
      <w:pPr>
        <w:spacing w:after="0" w:line="240" w:lineRule="auto"/>
      </w:pPr>
      <w:r>
        <w:separator/>
      </w:r>
    </w:p>
  </w:endnote>
  <w:endnote w:type="continuationSeparator" w:id="0">
    <w:p w14:paraId="0E598C4D" w14:textId="77777777" w:rsidR="00FC73CB" w:rsidRDefault="00FC73CB" w:rsidP="00000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1FE74" w14:textId="77777777" w:rsidR="00FC73CB" w:rsidRDefault="00FC73CB" w:rsidP="0000050F">
      <w:pPr>
        <w:spacing w:after="0" w:line="240" w:lineRule="auto"/>
      </w:pPr>
      <w:r>
        <w:separator/>
      </w:r>
    </w:p>
  </w:footnote>
  <w:footnote w:type="continuationSeparator" w:id="0">
    <w:p w14:paraId="439428C1" w14:textId="77777777" w:rsidR="00FC73CB" w:rsidRDefault="00FC73CB" w:rsidP="000005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99D"/>
    <w:rsid w:val="0000050F"/>
    <w:rsid w:val="000977BD"/>
    <w:rsid w:val="00365B47"/>
    <w:rsid w:val="004535BB"/>
    <w:rsid w:val="00523444"/>
    <w:rsid w:val="00623A3D"/>
    <w:rsid w:val="006528CA"/>
    <w:rsid w:val="008A72A6"/>
    <w:rsid w:val="00914C08"/>
    <w:rsid w:val="00B81523"/>
    <w:rsid w:val="00BB099D"/>
    <w:rsid w:val="00C61A04"/>
    <w:rsid w:val="00E30E7F"/>
    <w:rsid w:val="00FC73CB"/>
    <w:rsid w:val="00FD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10F74"/>
  <w15:chartTrackingRefBased/>
  <w15:docId w15:val="{69B7D69C-955C-4526-99F8-1D29DA2E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09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9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09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09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09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09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09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09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09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B09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BB09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BB09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BB099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BB099D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BB099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BB099D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B099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BB099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09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B09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09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B09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B09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B099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B099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B099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B09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B099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B099D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BB0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2"/>
      <w:lang w:val="it-IT" w:eastAsia="it-IT"/>
      <w14:ligatures w14:val="none"/>
    </w:rPr>
  </w:style>
  <w:style w:type="table" w:styleId="af">
    <w:name w:val="Table Grid"/>
    <w:basedOn w:val="a1"/>
    <w:uiPriority w:val="39"/>
    <w:rsid w:val="00BB099D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523444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523444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523444"/>
  </w:style>
  <w:style w:type="character" w:customStyle="1" w:styleId="af3">
    <w:name w:val="批注文字 字符"/>
    <w:basedOn w:val="a0"/>
    <w:link w:val="af2"/>
    <w:uiPriority w:val="99"/>
    <w:rsid w:val="00523444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23444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523444"/>
    <w:rPr>
      <w:b/>
      <w:bCs/>
    </w:rPr>
  </w:style>
  <w:style w:type="paragraph" w:styleId="af6">
    <w:name w:val="header"/>
    <w:basedOn w:val="a"/>
    <w:link w:val="af7"/>
    <w:uiPriority w:val="99"/>
    <w:unhideWhenUsed/>
    <w:rsid w:val="000005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f7">
    <w:name w:val="页眉 字符"/>
    <w:basedOn w:val="a0"/>
    <w:link w:val="af6"/>
    <w:uiPriority w:val="99"/>
    <w:rsid w:val="0000050F"/>
  </w:style>
  <w:style w:type="paragraph" w:styleId="af8">
    <w:name w:val="footer"/>
    <w:basedOn w:val="a"/>
    <w:link w:val="af9"/>
    <w:uiPriority w:val="99"/>
    <w:unhideWhenUsed/>
    <w:rsid w:val="000005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f9">
    <w:name w:val="页脚 字符"/>
    <w:basedOn w:val="a0"/>
    <w:link w:val="af8"/>
    <w:uiPriority w:val="99"/>
    <w:rsid w:val="00000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294</Words>
  <Characters>1435</Characters>
  <Application>Microsoft Office Word</Application>
  <DocSecurity>0</DocSecurity>
  <Lines>239</Lines>
  <Paragraphs>123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Maiolino</dc:creator>
  <cp:keywords/>
  <dc:description/>
  <cp:lastModifiedBy>Tech Science Press</cp:lastModifiedBy>
  <cp:revision>13</cp:revision>
  <dcterms:created xsi:type="dcterms:W3CDTF">2025-10-02T05:11:00Z</dcterms:created>
  <dcterms:modified xsi:type="dcterms:W3CDTF">2026-06-22T09:20:00Z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cb6e053d-4bf9-4c92-8f8b-df1a206bd577</vt:lpwstr>
  </property>
</Properties>
</file>