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Supplementary Material</w:t>
      </w:r>
    </w:p>
    <w:p>
      <w:pPr>
        <w:jc w:val="center"/>
      </w:pPr>
      <w:r>
        <w:rPr>
          <w:i/>
        </w:rPr>
        <w:t>Factors Facilitating the Uptake of Preventive Mental Health Support: An Exploratory Study of Primary Prevention among Workers</w:t>
      </w:r>
    </w:p>
    <w:p>
      <w:pPr>
        <w:jc w:val="center"/>
      </w:pPr>
      <w:r>
        <w:t>Asaka Kawamura and Tomoyuki Kobayashi</w:t>
      </w:r>
    </w:p>
    <w:p>
      <w:r>
        <w:t>This supplementary material provides the original Japanese wording of the free-text question and the Japanese labels used for the wording-type and provider-type conditions in the questionnaire.</w:t>
      </w:r>
    </w:p>
    <w:p>
      <w:pPr>
        <w:pStyle w:val="Heading1"/>
      </w:pPr>
      <w:r>
        <w:t>S1. Original Japanese wording of the free-text question</w:t>
      </w:r>
    </w:p>
    <w:tbl>
      <w:tblPr>
        <w:tblStyle w:val="TableGrid"/>
        <w:tblW w:type="auto" w:w="0"/>
        <w:jc w:val="center"/>
        <w:tblLook w:firstColumn="1" w:firstRow="1" w:lastColumn="0" w:lastRow="0" w:noHBand="0" w:noVBand="1" w:val="04A0"/>
      </w:tblPr>
      <w:tblGrid>
        <w:gridCol w:w="4824"/>
        <w:gridCol w:w="4824"/>
      </w:tblGrid>
      <w:tr>
        <w:tc>
          <w:tcPr>
            <w:tcW w:type="dxa" w:w="4824"/>
            <w:vAlign w:val="center"/>
            <w:tcMar>
              <w:top w:w="80" w:type="dxa"/>
              <w:left w:w="80" w:type="dxa"/>
              <w:bottom w:w="80" w:type="dxa"/>
              <w:right w:w="80" w:type="dxa"/>
            </w:tcMar>
          </w:tcPr>
          <w:p>
            <w:r>
              <w:rPr>
                <w:b/>
              </w:rPr>
              <w:t>Item</w:t>
            </w:r>
          </w:p>
        </w:tc>
        <w:tc>
          <w:tcPr>
            <w:tcW w:type="dxa" w:w="4824"/>
            <w:vAlign w:val="center"/>
            <w:tcMar>
              <w:top w:w="80" w:type="dxa"/>
              <w:left w:w="80" w:type="dxa"/>
              <w:bottom w:w="80" w:type="dxa"/>
              <w:right w:w="80" w:type="dxa"/>
            </w:tcMar>
          </w:tcPr>
          <w:p>
            <w:r>
              <w:rPr>
                <w:b/>
              </w:rPr>
              <w:t>Wording</w:t>
            </w:r>
          </w:p>
        </w:tc>
      </w:tr>
      <w:tr>
        <w:tc>
          <w:tcPr>
            <w:tcW w:type="dxa" w:w="4824"/>
            <w:tcMar>
              <w:top w:w="80" w:type="dxa"/>
              <w:left w:w="80" w:type="dxa"/>
              <w:bottom w:w="80" w:type="dxa"/>
              <w:right w:w="80" w:type="dxa"/>
            </w:tcMar>
          </w:tcPr>
          <w:p>
            <w:r>
              <w:t>Original Japanese wording</w:t>
            </w:r>
          </w:p>
        </w:tc>
        <w:tc>
          <w:tcPr>
            <w:tcW w:type="dxa" w:w="4824"/>
            <w:tcMar>
              <w:top w:w="80" w:type="dxa"/>
              <w:left w:w="80" w:type="dxa"/>
              <w:bottom w:w="80" w:type="dxa"/>
              <w:right w:w="80" w:type="dxa"/>
            </w:tcMar>
          </w:tcPr>
          <w:p>
            <w:r>
              <w:t>どのようなサービスや条件であれば、心理カウンセラーと話してもよいと思いますか。</w:t>
            </w:r>
          </w:p>
        </w:tc>
      </w:tr>
      <w:tr>
        <w:tc>
          <w:tcPr>
            <w:tcW w:type="dxa" w:w="4824"/>
            <w:tcMar>
              <w:top w:w="80" w:type="dxa"/>
              <w:left w:w="80" w:type="dxa"/>
              <w:bottom w:w="80" w:type="dxa"/>
              <w:right w:w="80" w:type="dxa"/>
            </w:tcMar>
          </w:tcPr>
          <w:p>
            <w:r>
              <w:t>English translation</w:t>
            </w:r>
          </w:p>
        </w:tc>
        <w:tc>
          <w:tcPr>
            <w:tcW w:type="dxa" w:w="4824"/>
            <w:tcMar>
              <w:top w:w="80" w:type="dxa"/>
              <w:left w:w="80" w:type="dxa"/>
              <w:bottom w:w="80" w:type="dxa"/>
              <w:right w:w="80" w:type="dxa"/>
            </w:tcMar>
          </w:tcPr>
          <w:p>
            <w:r>
              <w:t>Under what kinds of services or conditions would you be willing to talk with a psychological counsellor?</w:t>
            </w:r>
          </w:p>
        </w:tc>
      </w:tr>
    </w:tbl>
    <w:p>
      <w:pPr>
        <w:pStyle w:val="Heading1"/>
      </w:pPr>
      <w:r>
        <w:t>S2. Japanese labels used in the condition-specific self-stigma items</w:t>
      </w:r>
    </w:p>
    <w:p>
      <w:r>
        <w:t>The self-stigma items were presented under six conditions combining two wording types and three provider types. The Japanese labels used for these conditions are shown below. The full scale items are not reproduced here.</w:t>
      </w:r>
    </w:p>
    <w:tbl>
      <w:tblPr>
        <w:tblStyle w:val="TableGrid"/>
        <w:tblW w:type="auto" w:w="0"/>
        <w:jc w:val="center"/>
        <w:tblLook w:firstColumn="1" w:firstRow="1" w:lastColumn="0" w:lastRow="0" w:noHBand="0" w:noVBand="1" w:val="04A0"/>
      </w:tblPr>
      <w:tblGrid>
        <w:gridCol w:w="3216"/>
        <w:gridCol w:w="3216"/>
        <w:gridCol w:w="3216"/>
      </w:tblGrid>
      <w:tr>
        <w:tc>
          <w:tcPr>
            <w:tcW w:type="dxa" w:w="3216"/>
            <w:vAlign w:val="center"/>
            <w:tcMar>
              <w:top w:w="80" w:type="dxa"/>
              <w:left w:w="80" w:type="dxa"/>
              <w:bottom w:w="80" w:type="dxa"/>
              <w:right w:w="80" w:type="dxa"/>
            </w:tcMar>
          </w:tcPr>
          <w:p>
            <w:r>
              <w:rPr>
                <w:b/>
              </w:rPr>
              <w:t>Condition component</w:t>
            </w:r>
          </w:p>
        </w:tc>
        <w:tc>
          <w:tcPr>
            <w:tcW w:type="dxa" w:w="3216"/>
            <w:vAlign w:val="center"/>
            <w:tcMar>
              <w:top w:w="80" w:type="dxa"/>
              <w:left w:w="80" w:type="dxa"/>
              <w:bottom w:w="80" w:type="dxa"/>
              <w:right w:w="80" w:type="dxa"/>
            </w:tcMar>
          </w:tcPr>
          <w:p>
            <w:r>
              <w:rPr>
                <w:b/>
              </w:rPr>
              <w:t>Japanese label</w:t>
            </w:r>
          </w:p>
        </w:tc>
        <w:tc>
          <w:tcPr>
            <w:tcW w:type="dxa" w:w="3216"/>
            <w:vAlign w:val="center"/>
            <w:tcMar>
              <w:top w:w="80" w:type="dxa"/>
              <w:left w:w="80" w:type="dxa"/>
              <w:bottom w:w="80" w:type="dxa"/>
              <w:right w:w="80" w:type="dxa"/>
            </w:tcMar>
          </w:tcPr>
          <w:p>
            <w:r>
              <w:rPr>
                <w:b/>
              </w:rPr>
              <w:t>English label used in the manuscript</w:t>
            </w:r>
          </w:p>
        </w:tc>
      </w:tr>
      <w:tr>
        <w:tc>
          <w:tcPr>
            <w:tcW w:type="dxa" w:w="3216"/>
            <w:vAlign w:val="center"/>
            <w:tcMar>
              <w:top w:w="80" w:type="dxa"/>
              <w:left w:w="80" w:type="dxa"/>
              <w:bottom w:w="80" w:type="dxa"/>
              <w:right w:w="80" w:type="dxa"/>
            </w:tcMar>
          </w:tcPr>
          <w:p>
            <w:r>
              <w:t>Wording type</w:t>
            </w:r>
          </w:p>
        </w:tc>
        <w:tc>
          <w:tcPr>
            <w:tcW w:type="dxa" w:w="3216"/>
            <w:vAlign w:val="center"/>
            <w:tcMar>
              <w:top w:w="80" w:type="dxa"/>
              <w:left w:w="80" w:type="dxa"/>
              <w:bottom w:w="80" w:type="dxa"/>
              <w:right w:w="80" w:type="dxa"/>
            </w:tcMar>
          </w:tcPr>
          <w:p>
            <w:r>
              <w:t>相談する</w:t>
            </w:r>
          </w:p>
        </w:tc>
        <w:tc>
          <w:tcPr>
            <w:tcW w:type="dxa" w:w="3216"/>
            <w:vAlign w:val="center"/>
            <w:tcMar>
              <w:top w:w="80" w:type="dxa"/>
              <w:left w:w="80" w:type="dxa"/>
              <w:bottom w:w="80" w:type="dxa"/>
              <w:right w:w="80" w:type="dxa"/>
            </w:tcMar>
          </w:tcPr>
          <w:p>
            <w:r>
              <w:t>consulting</w:t>
            </w:r>
          </w:p>
        </w:tc>
      </w:tr>
      <w:tr>
        <w:tc>
          <w:tcPr>
            <w:tcW w:type="dxa" w:w="3216"/>
            <w:vAlign w:val="center"/>
            <w:tcMar>
              <w:top w:w="80" w:type="dxa"/>
              <w:left w:w="80" w:type="dxa"/>
              <w:bottom w:w="80" w:type="dxa"/>
              <w:right w:w="80" w:type="dxa"/>
            </w:tcMar>
          </w:tcPr>
          <w:p>
            <w:r>
              <w:t>Wording type</w:t>
            </w:r>
          </w:p>
        </w:tc>
        <w:tc>
          <w:tcPr>
            <w:tcW w:type="dxa" w:w="3216"/>
            <w:vAlign w:val="center"/>
            <w:tcMar>
              <w:top w:w="80" w:type="dxa"/>
              <w:left w:w="80" w:type="dxa"/>
              <w:bottom w:w="80" w:type="dxa"/>
              <w:right w:w="80" w:type="dxa"/>
            </w:tcMar>
          </w:tcPr>
          <w:p>
            <w:r>
              <w:t>雑談する</w:t>
            </w:r>
          </w:p>
        </w:tc>
        <w:tc>
          <w:tcPr>
            <w:tcW w:type="dxa" w:w="3216"/>
            <w:vAlign w:val="center"/>
            <w:tcMar>
              <w:top w:w="80" w:type="dxa"/>
              <w:left w:w="80" w:type="dxa"/>
              <w:bottom w:w="80" w:type="dxa"/>
              <w:right w:w="80" w:type="dxa"/>
            </w:tcMar>
          </w:tcPr>
          <w:p>
            <w:r>
              <w:t>chatting</w:t>
            </w:r>
          </w:p>
        </w:tc>
      </w:tr>
      <w:tr>
        <w:tc>
          <w:tcPr>
            <w:tcW w:type="dxa" w:w="3216"/>
            <w:vAlign w:val="center"/>
            <w:tcMar>
              <w:top w:w="80" w:type="dxa"/>
              <w:left w:w="80" w:type="dxa"/>
              <w:bottom w:w="80" w:type="dxa"/>
              <w:right w:w="80" w:type="dxa"/>
            </w:tcMar>
          </w:tcPr>
          <w:p>
            <w:r>
              <w:t>Provider type</w:t>
            </w:r>
          </w:p>
        </w:tc>
        <w:tc>
          <w:tcPr>
            <w:tcW w:type="dxa" w:w="3216"/>
            <w:vAlign w:val="center"/>
            <w:tcMar>
              <w:top w:w="80" w:type="dxa"/>
              <w:left w:w="80" w:type="dxa"/>
              <w:bottom w:w="80" w:type="dxa"/>
              <w:right w:w="80" w:type="dxa"/>
            </w:tcMar>
          </w:tcPr>
          <w:p>
            <w:r>
              <w:t>心理カウンセラー</w:t>
            </w:r>
          </w:p>
        </w:tc>
        <w:tc>
          <w:tcPr>
            <w:tcW w:type="dxa" w:w="3216"/>
            <w:vAlign w:val="center"/>
            <w:tcMar>
              <w:top w:w="80" w:type="dxa"/>
              <w:left w:w="80" w:type="dxa"/>
              <w:bottom w:w="80" w:type="dxa"/>
              <w:right w:w="80" w:type="dxa"/>
            </w:tcMar>
          </w:tcPr>
          <w:p>
            <w:r>
              <w:t>psychological counsellor</w:t>
            </w:r>
          </w:p>
        </w:tc>
      </w:tr>
      <w:tr>
        <w:tc>
          <w:tcPr>
            <w:tcW w:type="dxa" w:w="3216"/>
            <w:vAlign w:val="center"/>
            <w:tcMar>
              <w:top w:w="80" w:type="dxa"/>
              <w:left w:w="80" w:type="dxa"/>
              <w:bottom w:w="80" w:type="dxa"/>
              <w:right w:w="80" w:type="dxa"/>
            </w:tcMar>
          </w:tcPr>
          <w:p>
            <w:r>
              <w:t>Provider type</w:t>
            </w:r>
          </w:p>
        </w:tc>
        <w:tc>
          <w:tcPr>
            <w:tcW w:type="dxa" w:w="3216"/>
            <w:vAlign w:val="center"/>
            <w:tcMar>
              <w:top w:w="80" w:type="dxa"/>
              <w:left w:w="80" w:type="dxa"/>
              <w:bottom w:w="80" w:type="dxa"/>
              <w:right w:w="80" w:type="dxa"/>
            </w:tcMar>
          </w:tcPr>
          <w:p>
            <w:r>
              <w:t>キャリアコンサルタント</w:t>
            </w:r>
          </w:p>
        </w:tc>
        <w:tc>
          <w:tcPr>
            <w:tcW w:type="dxa" w:w="3216"/>
            <w:vAlign w:val="center"/>
            <w:tcMar>
              <w:top w:w="80" w:type="dxa"/>
              <w:left w:w="80" w:type="dxa"/>
              <w:bottom w:w="80" w:type="dxa"/>
              <w:right w:w="80" w:type="dxa"/>
            </w:tcMar>
          </w:tcPr>
          <w:p>
            <w:r>
              <w:t>career consultant</w:t>
            </w:r>
          </w:p>
        </w:tc>
      </w:tr>
      <w:tr>
        <w:tc>
          <w:tcPr>
            <w:tcW w:type="dxa" w:w="3216"/>
            <w:vAlign w:val="center"/>
            <w:tcMar>
              <w:top w:w="80" w:type="dxa"/>
              <w:left w:w="80" w:type="dxa"/>
              <w:bottom w:w="80" w:type="dxa"/>
              <w:right w:w="80" w:type="dxa"/>
            </w:tcMar>
          </w:tcPr>
          <w:p>
            <w:r>
              <w:t>Provider type</w:t>
            </w:r>
          </w:p>
        </w:tc>
        <w:tc>
          <w:tcPr>
            <w:tcW w:type="dxa" w:w="3216"/>
            <w:vAlign w:val="center"/>
            <w:tcMar>
              <w:top w:w="80" w:type="dxa"/>
              <w:left w:w="80" w:type="dxa"/>
              <w:bottom w:w="80" w:type="dxa"/>
              <w:right w:w="80" w:type="dxa"/>
            </w:tcMar>
          </w:tcPr>
          <w:p>
            <w:r>
              <w:t>非専門職の傾聴サービス提供者</w:t>
            </w:r>
          </w:p>
        </w:tc>
        <w:tc>
          <w:tcPr>
            <w:tcW w:type="dxa" w:w="3216"/>
            <w:vAlign w:val="center"/>
            <w:tcMar>
              <w:top w:w="80" w:type="dxa"/>
              <w:left w:w="80" w:type="dxa"/>
              <w:bottom w:w="80" w:type="dxa"/>
              <w:right w:w="80" w:type="dxa"/>
            </w:tcMar>
          </w:tcPr>
          <w:p>
            <w:r>
              <w:t>non-professional listening-service provider</w:t>
            </w:r>
          </w:p>
        </w:tc>
      </w:tr>
    </w:tbl>
    <w:p>
      <w:pPr>
        <w:pStyle w:val="Heading1"/>
      </w:pPr>
      <w:r>
        <w:t>S3. Japanese labels for the free-text response categories</w:t>
      </w:r>
    </w:p>
    <w:p>
      <w:r>
        <w:t>The following Japanese labels correspond to the six service-design categories reported in the manuscript.</w:t>
      </w:r>
    </w:p>
    <w:tbl>
      <w:tblPr>
        <w:tblStyle w:val="TableGrid"/>
        <w:tblW w:type="auto" w:w="0"/>
        <w:jc w:val="center"/>
        <w:tblLook w:firstColumn="1" w:firstRow="1" w:lastColumn="0" w:lastRow="0" w:noHBand="0" w:noVBand="1" w:val="04A0"/>
      </w:tblPr>
      <w:tblGrid>
        <w:gridCol w:w="3216"/>
        <w:gridCol w:w="3216"/>
        <w:gridCol w:w="3216"/>
      </w:tblGrid>
      <w:tr>
        <w:tc>
          <w:tcPr>
            <w:tcW w:type="dxa" w:w="3216"/>
            <w:vAlign w:val="center"/>
            <w:tcMar>
              <w:top w:w="80" w:type="dxa"/>
              <w:left w:w="80" w:type="dxa"/>
              <w:bottom w:w="80" w:type="dxa"/>
              <w:right w:w="80" w:type="dxa"/>
            </w:tcMar>
          </w:tcPr>
          <w:p>
            <w:r>
              <w:rPr>
                <w:b/>
              </w:rPr>
              <w:t>No.</w:t>
            </w:r>
          </w:p>
        </w:tc>
        <w:tc>
          <w:tcPr>
            <w:tcW w:type="dxa" w:w="3216"/>
            <w:vAlign w:val="center"/>
            <w:tcMar>
              <w:top w:w="80" w:type="dxa"/>
              <w:left w:w="80" w:type="dxa"/>
              <w:bottom w:w="80" w:type="dxa"/>
              <w:right w:w="80" w:type="dxa"/>
            </w:tcMar>
          </w:tcPr>
          <w:p>
            <w:r>
              <w:rPr>
                <w:b/>
              </w:rPr>
              <w:t>Japanese category label</w:t>
            </w:r>
          </w:p>
        </w:tc>
        <w:tc>
          <w:tcPr>
            <w:tcW w:type="dxa" w:w="3216"/>
            <w:vAlign w:val="center"/>
            <w:tcMar>
              <w:top w:w="80" w:type="dxa"/>
              <w:left w:w="80" w:type="dxa"/>
              <w:bottom w:w="80" w:type="dxa"/>
              <w:right w:w="80" w:type="dxa"/>
            </w:tcMar>
          </w:tcPr>
          <w:p>
            <w:r>
              <w:rPr>
                <w:b/>
              </w:rPr>
              <w:t>English category label used in the manuscript</w:t>
            </w:r>
          </w:p>
        </w:tc>
      </w:tr>
      <w:tr>
        <w:tc>
          <w:tcPr>
            <w:tcW w:type="dxa" w:w="3216"/>
            <w:vAlign w:val="center"/>
            <w:tcMar>
              <w:top w:w="80" w:type="dxa"/>
              <w:left w:w="80" w:type="dxa"/>
              <w:bottom w:w="80" w:type="dxa"/>
              <w:right w:w="80" w:type="dxa"/>
            </w:tcMar>
          </w:tcPr>
          <w:p>
            <w:r>
              <w:t>1</w:t>
            </w:r>
          </w:p>
        </w:tc>
        <w:tc>
          <w:tcPr>
            <w:tcW w:type="dxa" w:w="3216"/>
            <w:vAlign w:val="center"/>
            <w:tcMar>
              <w:top w:w="80" w:type="dxa"/>
              <w:left w:w="80" w:type="dxa"/>
              <w:bottom w:w="80" w:type="dxa"/>
              <w:right w:w="80" w:type="dxa"/>
            </w:tcMar>
          </w:tcPr>
          <w:p>
            <w:r>
              <w:t>低侵襲でプライバシーを保護するデザイン</w:t>
            </w:r>
          </w:p>
        </w:tc>
        <w:tc>
          <w:tcPr>
            <w:tcW w:type="dxa" w:w="3216"/>
            <w:vAlign w:val="center"/>
            <w:tcMar>
              <w:top w:w="80" w:type="dxa"/>
              <w:left w:w="80" w:type="dxa"/>
              <w:bottom w:w="80" w:type="dxa"/>
              <w:right w:w="80" w:type="dxa"/>
            </w:tcMar>
          </w:tcPr>
          <w:p>
            <w:r>
              <w:t>Low-intrusion and privacy-protective design</w:t>
            </w:r>
          </w:p>
        </w:tc>
      </w:tr>
      <w:tr>
        <w:tc>
          <w:tcPr>
            <w:tcW w:type="dxa" w:w="3216"/>
            <w:vAlign w:val="center"/>
            <w:tcMar>
              <w:top w:w="80" w:type="dxa"/>
              <w:left w:w="80" w:type="dxa"/>
              <w:bottom w:w="80" w:type="dxa"/>
              <w:right w:w="80" w:type="dxa"/>
            </w:tcMar>
          </w:tcPr>
          <w:p>
            <w:r>
              <w:t>2</w:t>
            </w:r>
          </w:p>
        </w:tc>
        <w:tc>
          <w:tcPr>
            <w:tcW w:type="dxa" w:w="3216"/>
            <w:vAlign w:val="center"/>
            <w:tcMar>
              <w:top w:w="80" w:type="dxa"/>
              <w:left w:w="80" w:type="dxa"/>
              <w:bottom w:w="80" w:type="dxa"/>
              <w:right w:w="80" w:type="dxa"/>
            </w:tcMar>
          </w:tcPr>
          <w:p>
            <w:r>
              <w:t>利用しやすいデザイン</w:t>
            </w:r>
          </w:p>
        </w:tc>
        <w:tc>
          <w:tcPr>
            <w:tcW w:type="dxa" w:w="3216"/>
            <w:vAlign w:val="center"/>
            <w:tcMar>
              <w:top w:w="80" w:type="dxa"/>
              <w:left w:w="80" w:type="dxa"/>
              <w:bottom w:w="80" w:type="dxa"/>
              <w:right w:w="80" w:type="dxa"/>
            </w:tcMar>
          </w:tcPr>
          <w:p>
            <w:r>
              <w:t>Accessible design</w:t>
            </w:r>
          </w:p>
        </w:tc>
      </w:tr>
      <w:tr>
        <w:tc>
          <w:tcPr>
            <w:tcW w:type="dxa" w:w="3216"/>
            <w:vAlign w:val="center"/>
            <w:tcMar>
              <w:top w:w="80" w:type="dxa"/>
              <w:left w:w="80" w:type="dxa"/>
              <w:bottom w:w="80" w:type="dxa"/>
              <w:right w:w="80" w:type="dxa"/>
            </w:tcMar>
          </w:tcPr>
          <w:p>
            <w:r>
              <w:t>3</w:t>
            </w:r>
          </w:p>
        </w:tc>
        <w:tc>
          <w:tcPr>
            <w:tcW w:type="dxa" w:w="3216"/>
            <w:vAlign w:val="center"/>
            <w:tcMar>
              <w:top w:w="80" w:type="dxa"/>
              <w:left w:w="80" w:type="dxa"/>
              <w:bottom w:w="80" w:type="dxa"/>
              <w:right w:w="80" w:type="dxa"/>
            </w:tcMar>
          </w:tcPr>
          <w:p>
            <w:r>
              <w:t>質の高いカウンセリングデザイン</w:t>
            </w:r>
          </w:p>
        </w:tc>
        <w:tc>
          <w:tcPr>
            <w:tcW w:type="dxa" w:w="3216"/>
            <w:vAlign w:val="center"/>
            <w:tcMar>
              <w:top w:w="80" w:type="dxa"/>
              <w:left w:w="80" w:type="dxa"/>
              <w:bottom w:w="80" w:type="dxa"/>
              <w:right w:w="80" w:type="dxa"/>
            </w:tcMar>
          </w:tcPr>
          <w:p>
            <w:r>
              <w:t>High-quality counselling design</w:t>
            </w:r>
          </w:p>
        </w:tc>
      </w:tr>
      <w:tr>
        <w:tc>
          <w:tcPr>
            <w:tcW w:type="dxa" w:w="3216"/>
            <w:vAlign w:val="center"/>
            <w:tcMar>
              <w:top w:w="80" w:type="dxa"/>
              <w:left w:w="80" w:type="dxa"/>
              <w:bottom w:w="80" w:type="dxa"/>
              <w:right w:w="80" w:type="dxa"/>
            </w:tcMar>
          </w:tcPr>
          <w:p>
            <w:r>
              <w:t>4</w:t>
            </w:r>
          </w:p>
        </w:tc>
        <w:tc>
          <w:tcPr>
            <w:tcW w:type="dxa" w:w="3216"/>
            <w:vAlign w:val="center"/>
            <w:tcMar>
              <w:top w:w="80" w:type="dxa"/>
              <w:left w:w="80" w:type="dxa"/>
              <w:bottom w:w="80" w:type="dxa"/>
              <w:right w:w="80" w:type="dxa"/>
            </w:tcMar>
          </w:tcPr>
          <w:p>
            <w:r>
              <w:t>アセスメント・問題解決志向のデザイン</w:t>
            </w:r>
          </w:p>
        </w:tc>
        <w:tc>
          <w:tcPr>
            <w:tcW w:type="dxa" w:w="3216"/>
            <w:vAlign w:val="center"/>
            <w:tcMar>
              <w:top w:w="80" w:type="dxa"/>
              <w:left w:w="80" w:type="dxa"/>
              <w:bottom w:w="80" w:type="dxa"/>
              <w:right w:w="80" w:type="dxa"/>
            </w:tcMar>
          </w:tcPr>
          <w:p>
            <w:r>
              <w:t>Assessment- and problem-solving-oriented design</w:t>
            </w:r>
          </w:p>
        </w:tc>
      </w:tr>
      <w:tr>
        <w:tc>
          <w:tcPr>
            <w:tcW w:type="dxa" w:w="3216"/>
            <w:vAlign w:val="center"/>
            <w:tcMar>
              <w:top w:w="80" w:type="dxa"/>
              <w:left w:w="80" w:type="dxa"/>
              <w:bottom w:w="80" w:type="dxa"/>
              <w:right w:w="80" w:type="dxa"/>
            </w:tcMar>
          </w:tcPr>
          <w:p>
            <w:r>
              <w:t>5</w:t>
            </w:r>
          </w:p>
        </w:tc>
        <w:tc>
          <w:tcPr>
            <w:tcW w:type="dxa" w:w="3216"/>
            <w:vAlign w:val="center"/>
            <w:tcMar>
              <w:top w:w="80" w:type="dxa"/>
              <w:left w:w="80" w:type="dxa"/>
              <w:bottom w:w="80" w:type="dxa"/>
              <w:right w:w="80" w:type="dxa"/>
            </w:tcMar>
          </w:tcPr>
          <w:p>
            <w:r>
              <w:t>余暇活動や飲食を伴うデザイン</w:t>
            </w:r>
          </w:p>
        </w:tc>
        <w:tc>
          <w:tcPr>
            <w:tcW w:type="dxa" w:w="3216"/>
            <w:vAlign w:val="center"/>
            <w:tcMar>
              <w:top w:w="80" w:type="dxa"/>
              <w:left w:w="80" w:type="dxa"/>
              <w:bottom w:w="80" w:type="dxa"/>
              <w:right w:w="80" w:type="dxa"/>
            </w:tcMar>
          </w:tcPr>
          <w:p>
            <w:r>
              <w:t>Leisure- and food/drink-based design</w:t>
            </w:r>
          </w:p>
        </w:tc>
      </w:tr>
      <w:tr>
        <w:tc>
          <w:tcPr>
            <w:tcW w:type="dxa" w:w="3216"/>
            <w:vAlign w:val="center"/>
            <w:tcMar>
              <w:top w:w="80" w:type="dxa"/>
              <w:left w:w="80" w:type="dxa"/>
              <w:bottom w:w="80" w:type="dxa"/>
              <w:right w:w="80" w:type="dxa"/>
            </w:tcMar>
          </w:tcPr>
          <w:p>
            <w:r>
              <w:t>6</w:t>
            </w:r>
          </w:p>
        </w:tc>
        <w:tc>
          <w:tcPr>
            <w:tcW w:type="dxa" w:w="3216"/>
            <w:vAlign w:val="center"/>
            <w:tcMar>
              <w:top w:w="80" w:type="dxa"/>
              <w:left w:w="80" w:type="dxa"/>
              <w:bottom w:w="80" w:type="dxa"/>
              <w:right w:w="80" w:type="dxa"/>
            </w:tcMar>
          </w:tcPr>
          <w:p>
            <w:r>
              <w:t>カウンセリング色を抑えたデザイン</w:t>
            </w:r>
          </w:p>
        </w:tc>
        <w:tc>
          <w:tcPr>
            <w:tcW w:type="dxa" w:w="3216"/>
            <w:vAlign w:val="center"/>
            <w:tcMar>
              <w:top w:w="80" w:type="dxa"/>
              <w:left w:w="80" w:type="dxa"/>
              <w:bottom w:w="80" w:type="dxa"/>
              <w:right w:w="80" w:type="dxa"/>
            </w:tcMar>
          </w:tcPr>
          <w:p>
            <w:r>
              <w:t>Non-counselling-oriented design</w:t>
            </w:r>
          </w:p>
        </w:tc>
      </w:tr>
    </w:tbl>
    <w:sectPr w:rsidR="00FC693F" w:rsidRPr="0006063C" w:rsidSect="00034616">
      <w:pgSz w:w="12240" w:h="15840"/>
      <w:pgMar w:top="1296" w:right="1296"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pPr>
    <w:rPr>
      <w:rFonts w:ascii="Times New Roman" w:hAnsi="Times New Roman" w:eastAsia="Yu Mincho"/>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Yu Gothic"/>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Yu Gothic"/>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Times New Roman" w:hAnsi="Times New Roman" w:eastAsia="Yu Gothic"/>
      <w:b/>
      <w:color w:val="17365D" w:themeColor="text2" w:themeShade="BF"/>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