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66984">
      <w:pPr>
        <w:jc w:val="center"/>
        <w:rPr>
          <w:sz w:val="21"/>
          <w:szCs w:val="24"/>
        </w:rPr>
      </w:pPr>
      <w:bookmarkStart w:id="0" w:name="_GoBack"/>
      <w:r>
        <w:rPr>
          <w:rFonts w:ascii="Times New Roman" w:hAnsi="Times New Roman" w:eastAsia="Times New Roman"/>
          <w:b/>
          <w:sz w:val="28"/>
          <w:szCs w:val="24"/>
        </w:rPr>
        <w:t>Supplementary Table S1. Modified Newcastle-Ottawa Scale scoring criteria</w:t>
      </w:r>
    </w:p>
    <w:p w14:paraId="048D3D8F">
      <w:pPr>
        <w:spacing w:after="120"/>
        <w:rPr>
          <w:sz w:val="21"/>
          <w:szCs w:val="24"/>
        </w:rPr>
      </w:pPr>
      <w:r>
        <w:rPr>
          <w:rFonts w:ascii="Times New Roman" w:hAnsi="Times New Roman" w:eastAsia="Times New Roman"/>
          <w:sz w:val="21"/>
          <w:szCs w:val="24"/>
        </w:rPr>
        <w:t>The methodological quality of the included observational studies was assessed using a modified Newcastle-Ottawa Scale adapted from the original NOS. The scale evaluates three domains: selection, comparability, and outcome/statistical analysis. The total score ranges from 0 to 10, with higher scores indicating better methodological quality.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358"/>
        <w:gridCol w:w="5602"/>
        <w:gridCol w:w="775"/>
      </w:tblGrid>
      <w:tr w14:paraId="4919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</w:tcPr>
          <w:p w14:paraId="68F61EDD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4"/>
              </w:rPr>
              <w:t>Domain</w:t>
            </w:r>
          </w:p>
        </w:tc>
        <w:tc>
          <w:tcPr>
            <w:tcW w:w="2520" w:type="dxa"/>
          </w:tcPr>
          <w:p w14:paraId="30666F2A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4"/>
              </w:rPr>
              <w:t>Item</w:t>
            </w:r>
          </w:p>
        </w:tc>
        <w:tc>
          <w:tcPr>
            <w:tcW w:w="6480" w:type="dxa"/>
          </w:tcPr>
          <w:p w14:paraId="56AF946D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4"/>
              </w:rPr>
              <w:t>Scoring criterion</w:t>
            </w:r>
          </w:p>
        </w:tc>
        <w:tc>
          <w:tcPr>
            <w:tcW w:w="792" w:type="dxa"/>
          </w:tcPr>
          <w:p w14:paraId="07915B98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4"/>
              </w:rPr>
              <w:t>Score</w:t>
            </w:r>
          </w:p>
        </w:tc>
      </w:tr>
      <w:tr w14:paraId="255C5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0B42964C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20455C0F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1. Representativeness of the sample</w:t>
            </w:r>
          </w:p>
        </w:tc>
        <w:tc>
          <w:tcPr>
            <w:tcW w:w="6480" w:type="dxa"/>
            <w:vAlign w:val="top"/>
          </w:tcPr>
          <w:p w14:paraId="2A14793F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Truly representative of the target population, such as all eligible subjects, consecutive sampling, or random sampling</w:t>
            </w:r>
          </w:p>
        </w:tc>
        <w:tc>
          <w:tcPr>
            <w:tcW w:w="792" w:type="dxa"/>
            <w:vAlign w:val="top"/>
          </w:tcPr>
          <w:p w14:paraId="22E5CF7B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316C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0368316E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5FBBBC17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1. Representativeness of the sample</w:t>
            </w:r>
          </w:p>
        </w:tc>
        <w:tc>
          <w:tcPr>
            <w:tcW w:w="6480" w:type="dxa"/>
            <w:vAlign w:val="top"/>
          </w:tcPr>
          <w:p w14:paraId="24E2448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Somewhat representative, selected group, convenience sample, or no description of the sampling strategy</w:t>
            </w:r>
          </w:p>
        </w:tc>
        <w:tc>
          <w:tcPr>
            <w:tcW w:w="792" w:type="dxa"/>
            <w:vAlign w:val="top"/>
          </w:tcPr>
          <w:p w14:paraId="38C17E54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  <w:tr w14:paraId="3780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5D8E1113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2F2BDD32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2. Sample size</w:t>
            </w:r>
          </w:p>
        </w:tc>
        <w:tc>
          <w:tcPr>
            <w:tcW w:w="6480" w:type="dxa"/>
            <w:vAlign w:val="top"/>
          </w:tcPr>
          <w:p w14:paraId="1BB19EC8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Sample size was justified, calculated, or considered adequate for the study objective</w:t>
            </w:r>
          </w:p>
        </w:tc>
        <w:tc>
          <w:tcPr>
            <w:tcW w:w="792" w:type="dxa"/>
            <w:vAlign w:val="top"/>
          </w:tcPr>
          <w:p w14:paraId="7382313A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70C52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26ED464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5A5407CE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2. Sample size</w:t>
            </w:r>
          </w:p>
        </w:tc>
        <w:tc>
          <w:tcPr>
            <w:tcW w:w="6480" w:type="dxa"/>
            <w:vAlign w:val="top"/>
          </w:tcPr>
          <w:p w14:paraId="7F6CF5F8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Sample size was not justified, or no information was provided</w:t>
            </w:r>
          </w:p>
        </w:tc>
        <w:tc>
          <w:tcPr>
            <w:tcW w:w="792" w:type="dxa"/>
            <w:vAlign w:val="top"/>
          </w:tcPr>
          <w:p w14:paraId="5664E7F8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  <w:tr w14:paraId="526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022A9E41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0F08BAA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3. Non-response rate / missing data</w:t>
            </w:r>
          </w:p>
        </w:tc>
        <w:tc>
          <w:tcPr>
            <w:tcW w:w="6480" w:type="dxa"/>
            <w:vAlign w:val="top"/>
          </w:tcPr>
          <w:p w14:paraId="11ACE852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Response rate was satisfactory, or non-response/missing data were described and appropriately handled</w:t>
            </w:r>
          </w:p>
        </w:tc>
        <w:tc>
          <w:tcPr>
            <w:tcW w:w="792" w:type="dxa"/>
            <w:vAlign w:val="top"/>
          </w:tcPr>
          <w:p w14:paraId="683297FA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372A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699B5C17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64840A9F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3. Non-response rate / missing data</w:t>
            </w:r>
          </w:p>
        </w:tc>
        <w:tc>
          <w:tcPr>
            <w:tcW w:w="6480" w:type="dxa"/>
            <w:vAlign w:val="top"/>
          </w:tcPr>
          <w:p w14:paraId="58145A9A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Response rate was unsatisfactory, missing data handling was unclear or inappropriate, or no information was provided</w:t>
            </w:r>
          </w:p>
        </w:tc>
        <w:tc>
          <w:tcPr>
            <w:tcW w:w="792" w:type="dxa"/>
            <w:vAlign w:val="top"/>
          </w:tcPr>
          <w:p w14:paraId="385DCDAA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  <w:tr w14:paraId="2B79F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5DFD33CF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1DEE70F1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4. Ascertainment of exposure / measurement</w:t>
            </w:r>
          </w:p>
        </w:tc>
        <w:tc>
          <w:tcPr>
            <w:tcW w:w="6480" w:type="dxa"/>
            <w:vAlign w:val="top"/>
          </w:tcPr>
          <w:p w14:paraId="5E89B944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Exposure and relevant semen outcomes were assessed using validated or standardized methods, such as MiOXSYS for nORP and WHO-based semen analysis protocols</w:t>
            </w:r>
          </w:p>
        </w:tc>
        <w:tc>
          <w:tcPr>
            <w:tcW w:w="792" w:type="dxa"/>
            <w:vAlign w:val="top"/>
          </w:tcPr>
          <w:p w14:paraId="729E85E3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2</w:t>
            </w:r>
          </w:p>
        </w:tc>
      </w:tr>
      <w:tr w14:paraId="045E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13107F9E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1143C965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4. Ascertainment of exposure / measurement</w:t>
            </w:r>
          </w:p>
        </w:tc>
        <w:tc>
          <w:tcPr>
            <w:tcW w:w="6480" w:type="dxa"/>
            <w:vAlign w:val="top"/>
          </w:tcPr>
          <w:p w14:paraId="751B501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Measurement tools were described but were not clearly validated or standardized</w:t>
            </w:r>
          </w:p>
        </w:tc>
        <w:tc>
          <w:tcPr>
            <w:tcW w:w="792" w:type="dxa"/>
            <w:vAlign w:val="top"/>
          </w:tcPr>
          <w:p w14:paraId="5EA67B37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6A5EF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2D1B6A3F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Selection</w:t>
            </w:r>
          </w:p>
        </w:tc>
        <w:tc>
          <w:tcPr>
            <w:tcW w:w="2520" w:type="dxa"/>
            <w:vAlign w:val="top"/>
          </w:tcPr>
          <w:p w14:paraId="15B670D9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4. Ascertainment of exposure / measurement</w:t>
            </w:r>
          </w:p>
        </w:tc>
        <w:tc>
          <w:tcPr>
            <w:tcW w:w="6480" w:type="dxa"/>
            <w:vAlign w:val="top"/>
          </w:tcPr>
          <w:p w14:paraId="373FD518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No description of measurement methods</w:t>
            </w:r>
          </w:p>
        </w:tc>
        <w:tc>
          <w:tcPr>
            <w:tcW w:w="792" w:type="dxa"/>
            <w:vAlign w:val="top"/>
          </w:tcPr>
          <w:p w14:paraId="35797605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  <w:tr w14:paraId="2087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55D0A3B9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Comparability</w:t>
            </w:r>
          </w:p>
        </w:tc>
        <w:tc>
          <w:tcPr>
            <w:tcW w:w="2520" w:type="dxa"/>
            <w:vAlign w:val="top"/>
          </w:tcPr>
          <w:p w14:paraId="1957B19D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5. Comparability / control for confounding</w:t>
            </w:r>
          </w:p>
        </w:tc>
        <w:tc>
          <w:tcPr>
            <w:tcW w:w="6480" w:type="dxa"/>
            <w:vAlign w:val="top"/>
          </w:tcPr>
          <w:p w14:paraId="133E4BA7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Study design or statistical analysis controlled for important confounders, such as age, abstinence duration, infertility diagnosis, semen analysis conditions, or other clinically relevant factors</w:t>
            </w:r>
          </w:p>
        </w:tc>
        <w:tc>
          <w:tcPr>
            <w:tcW w:w="792" w:type="dxa"/>
            <w:vAlign w:val="top"/>
          </w:tcPr>
          <w:p w14:paraId="6F5177D6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2</w:t>
            </w:r>
          </w:p>
        </w:tc>
      </w:tr>
      <w:tr w14:paraId="6CE7D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5C6CE8FC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Comparability</w:t>
            </w:r>
          </w:p>
        </w:tc>
        <w:tc>
          <w:tcPr>
            <w:tcW w:w="2520" w:type="dxa"/>
            <w:vAlign w:val="top"/>
          </w:tcPr>
          <w:p w14:paraId="0ECAFBAC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5. Comparability / control for confounding</w:t>
            </w:r>
          </w:p>
        </w:tc>
        <w:tc>
          <w:tcPr>
            <w:tcW w:w="6480" w:type="dxa"/>
            <w:vAlign w:val="top"/>
          </w:tcPr>
          <w:p w14:paraId="07CBBD9E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Study controlled for some but not all relevant confounders</w:t>
            </w:r>
          </w:p>
        </w:tc>
        <w:tc>
          <w:tcPr>
            <w:tcW w:w="792" w:type="dxa"/>
            <w:vAlign w:val="top"/>
          </w:tcPr>
          <w:p w14:paraId="7DD643A4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7F305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767C2192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Comparability</w:t>
            </w:r>
          </w:p>
        </w:tc>
        <w:tc>
          <w:tcPr>
            <w:tcW w:w="2520" w:type="dxa"/>
            <w:vAlign w:val="top"/>
          </w:tcPr>
          <w:p w14:paraId="0252062A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5. Comparability / control for confounding</w:t>
            </w:r>
          </w:p>
        </w:tc>
        <w:tc>
          <w:tcPr>
            <w:tcW w:w="6480" w:type="dxa"/>
            <w:vAlign w:val="top"/>
          </w:tcPr>
          <w:p w14:paraId="5151EFFB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No adjustment or no information on confounder control</w:t>
            </w:r>
          </w:p>
        </w:tc>
        <w:tc>
          <w:tcPr>
            <w:tcW w:w="792" w:type="dxa"/>
            <w:vAlign w:val="top"/>
          </w:tcPr>
          <w:p w14:paraId="3E061CE5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  <w:tr w14:paraId="0467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7D48681F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 / Statistical analysis</w:t>
            </w:r>
          </w:p>
        </w:tc>
        <w:tc>
          <w:tcPr>
            <w:tcW w:w="2520" w:type="dxa"/>
            <w:vAlign w:val="top"/>
          </w:tcPr>
          <w:p w14:paraId="7E13130A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6. Assessment of outcome</w:t>
            </w:r>
          </w:p>
        </w:tc>
        <w:tc>
          <w:tcPr>
            <w:tcW w:w="6480" w:type="dxa"/>
            <w:vAlign w:val="top"/>
          </w:tcPr>
          <w:p w14:paraId="493AC30B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Outcomes were assessed using objective, validated, or standardized methods; assessment was blinded or independently performed where applicable</w:t>
            </w:r>
          </w:p>
        </w:tc>
        <w:tc>
          <w:tcPr>
            <w:tcW w:w="792" w:type="dxa"/>
            <w:vAlign w:val="top"/>
          </w:tcPr>
          <w:p w14:paraId="751C7863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2</w:t>
            </w:r>
          </w:p>
        </w:tc>
      </w:tr>
      <w:tr w14:paraId="50B9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254B5BB1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 / Statistical analysis</w:t>
            </w:r>
          </w:p>
        </w:tc>
        <w:tc>
          <w:tcPr>
            <w:tcW w:w="2520" w:type="dxa"/>
            <w:vAlign w:val="top"/>
          </w:tcPr>
          <w:p w14:paraId="46A3F0B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6. Assessment of outcome</w:t>
            </w:r>
          </w:p>
        </w:tc>
        <w:tc>
          <w:tcPr>
            <w:tcW w:w="6480" w:type="dxa"/>
            <w:vAlign w:val="top"/>
          </w:tcPr>
          <w:p w14:paraId="3C57D3D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Outcomes were assessed using objective methods but without clear blinding or independent assessment</w:t>
            </w:r>
          </w:p>
        </w:tc>
        <w:tc>
          <w:tcPr>
            <w:tcW w:w="792" w:type="dxa"/>
            <w:vAlign w:val="top"/>
          </w:tcPr>
          <w:p w14:paraId="3C780A5D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6D4EA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78278629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 / Statistical analysis</w:t>
            </w:r>
          </w:p>
        </w:tc>
        <w:tc>
          <w:tcPr>
            <w:tcW w:w="2520" w:type="dxa"/>
            <w:vAlign w:val="top"/>
          </w:tcPr>
          <w:p w14:paraId="1192246A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6. Assessment of outcome</w:t>
            </w:r>
          </w:p>
        </w:tc>
        <w:tc>
          <w:tcPr>
            <w:tcW w:w="6480" w:type="dxa"/>
            <w:vAlign w:val="top"/>
          </w:tcPr>
          <w:p w14:paraId="212A24E5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 assessment was self-reported, non-standardized, or not described</w:t>
            </w:r>
          </w:p>
        </w:tc>
        <w:tc>
          <w:tcPr>
            <w:tcW w:w="792" w:type="dxa"/>
            <w:vAlign w:val="top"/>
          </w:tcPr>
          <w:p w14:paraId="345DA8F0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  <w:tr w14:paraId="2E2C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5A36F486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 / Statistical analysis</w:t>
            </w:r>
          </w:p>
        </w:tc>
        <w:tc>
          <w:tcPr>
            <w:tcW w:w="2520" w:type="dxa"/>
            <w:vAlign w:val="top"/>
          </w:tcPr>
          <w:p w14:paraId="21DBEA6D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7. Statistical test</w:t>
            </w:r>
          </w:p>
        </w:tc>
        <w:tc>
          <w:tcPr>
            <w:tcW w:w="6480" w:type="dxa"/>
            <w:vAlign w:val="top"/>
          </w:tcPr>
          <w:p w14:paraId="172CAFCC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Statistical methods were clearly described and appropriate, and effect estimates were reported with confidence intervals and/or p-values</w:t>
            </w:r>
          </w:p>
        </w:tc>
        <w:tc>
          <w:tcPr>
            <w:tcW w:w="792" w:type="dxa"/>
            <w:vAlign w:val="top"/>
          </w:tcPr>
          <w:p w14:paraId="20ABAFE5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1</w:t>
            </w:r>
          </w:p>
        </w:tc>
      </w:tr>
      <w:tr w14:paraId="6A61B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top"/>
          </w:tcPr>
          <w:p w14:paraId="35EA2332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Outcome / Statistical analysis</w:t>
            </w:r>
          </w:p>
        </w:tc>
        <w:tc>
          <w:tcPr>
            <w:tcW w:w="2520" w:type="dxa"/>
            <w:vAlign w:val="top"/>
          </w:tcPr>
          <w:p w14:paraId="24028010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7. Statistical test</w:t>
            </w:r>
          </w:p>
        </w:tc>
        <w:tc>
          <w:tcPr>
            <w:tcW w:w="6480" w:type="dxa"/>
            <w:vAlign w:val="top"/>
          </w:tcPr>
          <w:p w14:paraId="2516B8C4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Statistical methods were inappropriate, incomplete, or not clearly described</w:t>
            </w:r>
          </w:p>
        </w:tc>
        <w:tc>
          <w:tcPr>
            <w:tcW w:w="792" w:type="dxa"/>
            <w:vAlign w:val="top"/>
          </w:tcPr>
          <w:p w14:paraId="36C5B10D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18"/>
                <w:szCs w:val="24"/>
              </w:rPr>
              <w:t>0</w:t>
            </w:r>
          </w:p>
        </w:tc>
      </w:tr>
    </w:tbl>
    <w:p w14:paraId="04B69A0A">
      <w:pPr>
        <w:rPr>
          <w:sz w:val="21"/>
          <w:szCs w:val="24"/>
        </w:rPr>
      </w:pPr>
    </w:p>
    <w:p w14:paraId="43436012">
      <w:pPr>
        <w:rPr>
          <w:sz w:val="21"/>
          <w:szCs w:val="24"/>
        </w:rPr>
      </w:pPr>
      <w:r>
        <w:rPr>
          <w:rFonts w:ascii="Times New Roman" w:hAnsi="Times New Roman" w:eastAsia="Times New Roman"/>
          <w:b/>
          <w:sz w:val="21"/>
          <w:szCs w:val="24"/>
        </w:rPr>
        <w:t>Quality classification used in this review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2"/>
        <w:gridCol w:w="5112"/>
      </w:tblGrid>
      <w:tr w14:paraId="6DF4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2" w:type="dxa"/>
          </w:tcPr>
          <w:p w14:paraId="0FC9D26B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4"/>
              </w:rPr>
              <w:t>Total score</w:t>
            </w:r>
          </w:p>
        </w:tc>
        <w:tc>
          <w:tcPr>
            <w:tcW w:w="5112" w:type="dxa"/>
          </w:tcPr>
          <w:p w14:paraId="52D60CB6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4"/>
              </w:rPr>
              <w:t>Interpretation</w:t>
            </w:r>
          </w:p>
        </w:tc>
      </w:tr>
      <w:tr w14:paraId="2C14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2" w:type="dxa"/>
          </w:tcPr>
          <w:p w14:paraId="5F0A8745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9-10</w:t>
            </w:r>
          </w:p>
        </w:tc>
        <w:tc>
          <w:tcPr>
            <w:tcW w:w="5112" w:type="dxa"/>
          </w:tcPr>
          <w:p w14:paraId="35D31A34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Very good quality</w:t>
            </w:r>
          </w:p>
        </w:tc>
      </w:tr>
      <w:tr w14:paraId="074F9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2" w:type="dxa"/>
          </w:tcPr>
          <w:p w14:paraId="41E4841E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7-8</w:t>
            </w:r>
          </w:p>
        </w:tc>
        <w:tc>
          <w:tcPr>
            <w:tcW w:w="5112" w:type="dxa"/>
          </w:tcPr>
          <w:p w14:paraId="62842C20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Good quality</w:t>
            </w:r>
          </w:p>
        </w:tc>
      </w:tr>
      <w:tr w14:paraId="15F72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2" w:type="dxa"/>
          </w:tcPr>
          <w:p w14:paraId="76D6C92A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5-6</w:t>
            </w:r>
          </w:p>
        </w:tc>
        <w:tc>
          <w:tcPr>
            <w:tcW w:w="5112" w:type="dxa"/>
          </w:tcPr>
          <w:p w14:paraId="4EBFCCED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Satisfactory quality</w:t>
            </w:r>
          </w:p>
        </w:tc>
      </w:tr>
      <w:tr w14:paraId="1C45E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12" w:type="dxa"/>
          </w:tcPr>
          <w:p w14:paraId="47011221">
            <w:pPr>
              <w:spacing w:after="0" w:line="240" w:lineRule="auto"/>
              <w:jc w:val="center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0-4</w:t>
            </w:r>
          </w:p>
        </w:tc>
        <w:tc>
          <w:tcPr>
            <w:tcW w:w="5112" w:type="dxa"/>
          </w:tcPr>
          <w:p w14:paraId="7AC9D403">
            <w:pPr>
              <w:spacing w:after="0" w:line="240" w:lineRule="auto"/>
              <w:rPr>
                <w:sz w:val="21"/>
                <w:szCs w:val="24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</w:rPr>
              <w:t>Unsatisfactory quality</w:t>
            </w:r>
          </w:p>
        </w:tc>
      </w:tr>
    </w:tbl>
    <w:p w14:paraId="289E92F6">
      <w:pPr>
        <w:spacing w:before="160"/>
        <w:rPr>
          <w:sz w:val="21"/>
          <w:szCs w:val="24"/>
        </w:rPr>
      </w:pPr>
      <w:r>
        <w:rPr>
          <w:rFonts w:ascii="Times New Roman" w:hAnsi="Times New Roman" w:eastAsia="Times New Roman"/>
          <w:sz w:val="20"/>
          <w:szCs w:val="24"/>
        </w:rPr>
        <w:t>Note: NOS, Newcastle-Ottawa Scale; nORP, normalized oxidation-reduction potential; WHO, World Health Organization. For the present review, studies scoring 7-10 were considered to be of good methodological quality.</w:t>
      </w:r>
    </w:p>
    <w:bookmarkEnd w:id="0"/>
    <w:sectPr>
      <w:pgSz w:w="12240" w:h="15840"/>
      <w:pgMar w:top="1152" w:right="1008" w:bottom="1152" w:left="1008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9D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2938</Characters>
  <Lines>0</Lines>
  <Paragraphs>0</Paragraphs>
  <TotalTime>0</TotalTime>
  <ScaleCrop>false</ScaleCrop>
  <LinksUpToDate>false</LinksUpToDate>
  <CharactersWithSpaces>3312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Zitong Wang</cp:lastModifiedBy>
  <dcterms:modified xsi:type="dcterms:W3CDTF">2026-06-03T13:18:38Z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eyJoZGlkIjoiZWNiMGJkODhmOThiNTFiNDA4NzRhYmNlMTUyYmU0MGUiLCJ1c2VySWQiOiIzMTYzMzMxMDQifQ==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17EDC636F9B14D5EAE5FBBE00A2B5EAE_12</vt:lpwstr>
  </property>
</Properties>
</file>