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787EA" w14:textId="6CFBE013" w:rsidR="00455F4C" w:rsidRPr="00455F4C" w:rsidRDefault="00455F4C" w:rsidP="00455F4C">
      <w:pPr>
        <w:pStyle w:val="TSP21heading1"/>
        <w:rPr>
          <w:rFonts w:eastAsiaTheme="minorEastAsia"/>
          <w:lang w:eastAsia="zh-CN"/>
        </w:rPr>
      </w:pPr>
      <w:r w:rsidRPr="00455F4C">
        <w:t>Supplementary Materials</w:t>
      </w:r>
    </w:p>
    <w:p w14:paraId="224B4236" w14:textId="3B04502F" w:rsidR="00E02F19" w:rsidRPr="00455F4C" w:rsidRDefault="00455F4C" w:rsidP="00455F4C">
      <w:pPr>
        <w:pStyle w:val="TSP41tablecaption"/>
        <w:jc w:val="center"/>
      </w:pPr>
      <w:r w:rsidRPr="00455F4C">
        <w:rPr>
          <w:b/>
          <w:bCs/>
        </w:rPr>
        <w:t>Table S1:</w:t>
      </w:r>
      <w:r w:rsidR="00E02F19" w:rsidRPr="00455F4C">
        <w:rPr>
          <w:b/>
          <w:bCs/>
        </w:rPr>
        <w:t xml:space="preserve"> </w:t>
      </w:r>
      <w:r w:rsidR="00E02F19" w:rsidRPr="00455F4C">
        <w:t>Stratified analysis of intraoperative hypotension (IOH) and postoperative outcomes by surgical risk tier</w:t>
      </w:r>
      <w:r w:rsidRPr="00455F4C">
        <w:t>.</w:t>
      </w:r>
    </w:p>
    <w:tbl>
      <w:tblPr>
        <w:tblW w:w="9360" w:type="dxa"/>
        <w:jc w:val="center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5"/>
        <w:gridCol w:w="1392"/>
        <w:gridCol w:w="1418"/>
        <w:gridCol w:w="1202"/>
        <w:gridCol w:w="920"/>
        <w:gridCol w:w="1867"/>
        <w:gridCol w:w="976"/>
      </w:tblGrid>
      <w:tr w:rsidR="00455F4C" w:rsidRPr="00455F4C" w14:paraId="59EDCE89" w14:textId="77777777" w:rsidTr="00455F4C">
        <w:trPr>
          <w:jc w:val="center"/>
        </w:trPr>
        <w:tc>
          <w:tcPr>
            <w:tcW w:w="158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C37D966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b/>
                <w:bCs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b/>
                <w:bCs/>
                <w:sz w:val="20"/>
                <w:szCs w:val="18"/>
              </w:rPr>
              <w:t>Surgical Risk Tier</w:t>
            </w:r>
          </w:p>
        </w:tc>
        <w:tc>
          <w:tcPr>
            <w:tcW w:w="13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59BF858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b/>
                <w:bCs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b/>
                <w:bCs/>
                <w:sz w:val="20"/>
                <w:szCs w:val="18"/>
              </w:rPr>
              <w:t>Outcome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B931D17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b/>
                <w:bCs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b/>
                <w:bCs/>
                <w:sz w:val="20"/>
                <w:szCs w:val="18"/>
              </w:rPr>
              <w:t>MAP Threshold (ref: ≥80 mmHg)</w:t>
            </w:r>
          </w:p>
        </w:tc>
        <w:tc>
          <w:tcPr>
            <w:tcW w:w="120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5CFBC05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b/>
                <w:bCs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b/>
                <w:bCs/>
                <w:sz w:val="20"/>
                <w:szCs w:val="18"/>
              </w:rPr>
              <w:t>Patients (n)</w:t>
            </w:r>
          </w:p>
        </w:tc>
        <w:tc>
          <w:tcPr>
            <w:tcW w:w="920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D6CDC4A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b/>
                <w:bCs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b/>
                <w:bCs/>
                <w:sz w:val="20"/>
                <w:szCs w:val="18"/>
              </w:rPr>
              <w:t>Events (n)</w:t>
            </w:r>
          </w:p>
        </w:tc>
        <w:tc>
          <w:tcPr>
            <w:tcW w:w="1867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44BDFDE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b/>
                <w:bCs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b/>
                <w:bCs/>
                <w:sz w:val="20"/>
                <w:szCs w:val="18"/>
              </w:rPr>
              <w:t>Adjusted OR (95% CI)</w:t>
            </w:r>
          </w:p>
        </w:tc>
        <w:tc>
          <w:tcPr>
            <w:tcW w:w="976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DD83173" w14:textId="52EB4BA4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b/>
                <w:bCs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b/>
                <w:bCs/>
                <w:i/>
                <w:iCs/>
                <w:sz w:val="20"/>
                <w:szCs w:val="18"/>
              </w:rPr>
              <w:t>P</w:t>
            </w:r>
            <w:r w:rsidRPr="00455F4C">
              <w:rPr>
                <w:rFonts w:ascii="Minion Pro" w:hAnsi="Minion Pro" w:cs="Minion Pro"/>
                <w:b/>
                <w:bCs/>
                <w:sz w:val="20"/>
                <w:szCs w:val="18"/>
              </w:rPr>
              <w:t>-</w:t>
            </w:r>
            <w:r w:rsidR="008A1EF6" w:rsidRPr="00455F4C">
              <w:rPr>
                <w:rFonts w:ascii="Minion Pro" w:hAnsi="Minion Pro" w:cs="Minion Pro"/>
                <w:b/>
                <w:bCs/>
                <w:sz w:val="20"/>
                <w:szCs w:val="18"/>
              </w:rPr>
              <w:t>Value</w:t>
            </w:r>
          </w:p>
        </w:tc>
      </w:tr>
      <w:tr w:rsidR="00455F4C" w:rsidRPr="00455F4C" w14:paraId="1D8907FA" w14:textId="77777777" w:rsidTr="00455F4C">
        <w:trPr>
          <w:jc w:val="center"/>
        </w:trPr>
        <w:tc>
          <w:tcPr>
            <w:tcW w:w="1585" w:type="dxa"/>
            <w:vMerge w:val="restart"/>
            <w:tcBorders>
              <w:top w:val="single" w:sz="4" w:space="0" w:color="auto"/>
            </w:tcBorders>
            <w:vAlign w:val="center"/>
          </w:tcPr>
          <w:p w14:paraId="13193BBC" w14:textId="56D08542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Low-risk</w:t>
            </w:r>
            <w:r w:rsidR="00455F4C" w:rsidRPr="00455F4C">
              <w:rPr>
                <w:rFonts w:ascii="Minion Pro" w:hAnsi="Minion Pro" w:cs="Minion Pro" w:hint="eastAsia"/>
                <w:sz w:val="20"/>
                <w:szCs w:val="18"/>
                <w:vertAlign w:val="superscript"/>
              </w:rPr>
              <w:t>1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</w:tcBorders>
            <w:vAlign w:val="center"/>
          </w:tcPr>
          <w:p w14:paraId="4A15463B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Severe perfusion-related morbidity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center"/>
          </w:tcPr>
          <w:p w14:paraId="2D342259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&lt;80 mmHg</w:t>
            </w: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vAlign w:val="center"/>
          </w:tcPr>
          <w:p w14:paraId="44166CCD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140</w:t>
            </w:r>
          </w:p>
        </w:tc>
        <w:tc>
          <w:tcPr>
            <w:tcW w:w="920" w:type="dxa"/>
            <w:tcBorders>
              <w:top w:val="single" w:sz="4" w:space="0" w:color="auto"/>
              <w:bottom w:val="nil"/>
            </w:tcBorders>
            <w:vAlign w:val="center"/>
          </w:tcPr>
          <w:p w14:paraId="2B58BE5B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5</w:t>
            </w:r>
          </w:p>
        </w:tc>
        <w:tc>
          <w:tcPr>
            <w:tcW w:w="1867" w:type="dxa"/>
            <w:tcBorders>
              <w:top w:val="single" w:sz="4" w:space="0" w:color="auto"/>
              <w:bottom w:val="nil"/>
            </w:tcBorders>
            <w:vAlign w:val="center"/>
          </w:tcPr>
          <w:p w14:paraId="068B6049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1.82 (0.51–6.54)</w:t>
            </w:r>
          </w:p>
        </w:tc>
        <w:tc>
          <w:tcPr>
            <w:tcW w:w="976" w:type="dxa"/>
            <w:tcBorders>
              <w:top w:val="single" w:sz="4" w:space="0" w:color="auto"/>
              <w:bottom w:val="nil"/>
            </w:tcBorders>
            <w:vAlign w:val="center"/>
          </w:tcPr>
          <w:p w14:paraId="2BF97EFA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0.357</w:t>
            </w:r>
          </w:p>
        </w:tc>
      </w:tr>
      <w:tr w:rsidR="00455F4C" w:rsidRPr="00455F4C" w14:paraId="5D01AC55" w14:textId="77777777" w:rsidTr="00455F4C">
        <w:trPr>
          <w:jc w:val="center"/>
        </w:trPr>
        <w:tc>
          <w:tcPr>
            <w:tcW w:w="1585" w:type="dxa"/>
            <w:vMerge/>
            <w:vAlign w:val="center"/>
          </w:tcPr>
          <w:p w14:paraId="2D03BC6A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</w:p>
        </w:tc>
        <w:tc>
          <w:tcPr>
            <w:tcW w:w="1392" w:type="dxa"/>
            <w:vMerge/>
            <w:vAlign w:val="center"/>
          </w:tcPr>
          <w:p w14:paraId="03600A00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166C4D29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&lt;70 mmHg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53D8E959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140</w:t>
            </w:r>
          </w:p>
        </w:tc>
        <w:tc>
          <w:tcPr>
            <w:tcW w:w="920" w:type="dxa"/>
            <w:tcBorders>
              <w:top w:val="nil"/>
              <w:bottom w:val="nil"/>
            </w:tcBorders>
            <w:vAlign w:val="center"/>
          </w:tcPr>
          <w:p w14:paraId="437CD1CD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4</w:t>
            </w:r>
          </w:p>
        </w:tc>
        <w:tc>
          <w:tcPr>
            <w:tcW w:w="1867" w:type="dxa"/>
            <w:tcBorders>
              <w:top w:val="nil"/>
              <w:bottom w:val="nil"/>
            </w:tcBorders>
            <w:vAlign w:val="center"/>
          </w:tcPr>
          <w:p w14:paraId="2689707A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1.65 (0.43–6.32)</w:t>
            </w:r>
          </w:p>
        </w:tc>
        <w:tc>
          <w:tcPr>
            <w:tcW w:w="976" w:type="dxa"/>
            <w:tcBorders>
              <w:top w:val="nil"/>
              <w:bottom w:val="nil"/>
            </w:tcBorders>
            <w:vAlign w:val="center"/>
          </w:tcPr>
          <w:p w14:paraId="01ACCB58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0.468</w:t>
            </w:r>
          </w:p>
        </w:tc>
      </w:tr>
      <w:tr w:rsidR="00455F4C" w:rsidRPr="00455F4C" w14:paraId="3E8D0ADA" w14:textId="77777777" w:rsidTr="00455F4C">
        <w:trPr>
          <w:jc w:val="center"/>
        </w:trPr>
        <w:tc>
          <w:tcPr>
            <w:tcW w:w="1585" w:type="dxa"/>
            <w:vMerge/>
            <w:vAlign w:val="center"/>
          </w:tcPr>
          <w:p w14:paraId="243D3005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</w:p>
        </w:tc>
        <w:tc>
          <w:tcPr>
            <w:tcW w:w="1392" w:type="dxa"/>
            <w:vMerge/>
            <w:tcBorders>
              <w:bottom w:val="single" w:sz="4" w:space="0" w:color="auto"/>
            </w:tcBorders>
            <w:vAlign w:val="center"/>
          </w:tcPr>
          <w:p w14:paraId="5A67F2F3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14:paraId="60E04AE3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&lt;60 mmHg</w:t>
            </w: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vAlign w:val="center"/>
          </w:tcPr>
          <w:p w14:paraId="17A5D4E9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140</w:t>
            </w:r>
          </w:p>
        </w:tc>
        <w:tc>
          <w:tcPr>
            <w:tcW w:w="920" w:type="dxa"/>
            <w:tcBorders>
              <w:top w:val="nil"/>
              <w:bottom w:val="single" w:sz="4" w:space="0" w:color="auto"/>
            </w:tcBorders>
            <w:vAlign w:val="center"/>
          </w:tcPr>
          <w:p w14:paraId="4FE5BE71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2</w:t>
            </w:r>
          </w:p>
        </w:tc>
        <w:tc>
          <w:tcPr>
            <w:tcW w:w="1867" w:type="dxa"/>
            <w:tcBorders>
              <w:top w:val="nil"/>
              <w:bottom w:val="single" w:sz="4" w:space="0" w:color="auto"/>
            </w:tcBorders>
            <w:vAlign w:val="center"/>
          </w:tcPr>
          <w:p w14:paraId="3BC7E00D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2.11 (0.38–11.67)</w:t>
            </w:r>
          </w:p>
        </w:tc>
        <w:tc>
          <w:tcPr>
            <w:tcW w:w="976" w:type="dxa"/>
            <w:tcBorders>
              <w:top w:val="nil"/>
              <w:bottom w:val="single" w:sz="4" w:space="0" w:color="auto"/>
            </w:tcBorders>
            <w:vAlign w:val="center"/>
          </w:tcPr>
          <w:p w14:paraId="7DEB14E2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0.392</w:t>
            </w:r>
          </w:p>
        </w:tc>
      </w:tr>
      <w:tr w:rsidR="00455F4C" w:rsidRPr="00455F4C" w14:paraId="0C086221" w14:textId="77777777" w:rsidTr="00455F4C">
        <w:trPr>
          <w:jc w:val="center"/>
        </w:trPr>
        <w:tc>
          <w:tcPr>
            <w:tcW w:w="1585" w:type="dxa"/>
            <w:vMerge/>
            <w:vAlign w:val="center"/>
          </w:tcPr>
          <w:p w14:paraId="43E624A3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</w:p>
        </w:tc>
        <w:tc>
          <w:tcPr>
            <w:tcW w:w="1392" w:type="dxa"/>
            <w:vMerge w:val="restart"/>
            <w:tcBorders>
              <w:top w:val="single" w:sz="4" w:space="0" w:color="auto"/>
            </w:tcBorders>
            <w:vAlign w:val="center"/>
          </w:tcPr>
          <w:p w14:paraId="6F185A14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All-cause mortality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center"/>
          </w:tcPr>
          <w:p w14:paraId="14449B71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&lt;80 mmHg</w:t>
            </w: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vAlign w:val="center"/>
          </w:tcPr>
          <w:p w14:paraId="270C005D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140</w:t>
            </w:r>
          </w:p>
        </w:tc>
        <w:tc>
          <w:tcPr>
            <w:tcW w:w="920" w:type="dxa"/>
            <w:tcBorders>
              <w:top w:val="single" w:sz="4" w:space="0" w:color="auto"/>
              <w:bottom w:val="nil"/>
            </w:tcBorders>
            <w:vAlign w:val="center"/>
          </w:tcPr>
          <w:p w14:paraId="1276C01D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  <w:bottom w:val="nil"/>
            </w:tcBorders>
            <w:vAlign w:val="center"/>
          </w:tcPr>
          <w:p w14:paraId="70B4C138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3.05 (0.32–28.91)</w:t>
            </w:r>
          </w:p>
        </w:tc>
        <w:tc>
          <w:tcPr>
            <w:tcW w:w="976" w:type="dxa"/>
            <w:tcBorders>
              <w:top w:val="single" w:sz="4" w:space="0" w:color="auto"/>
              <w:bottom w:val="nil"/>
            </w:tcBorders>
            <w:vAlign w:val="center"/>
          </w:tcPr>
          <w:p w14:paraId="61657362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0.328</w:t>
            </w:r>
          </w:p>
        </w:tc>
      </w:tr>
      <w:tr w:rsidR="00455F4C" w:rsidRPr="00455F4C" w14:paraId="1F118BC8" w14:textId="77777777" w:rsidTr="00455F4C">
        <w:trPr>
          <w:jc w:val="center"/>
        </w:trPr>
        <w:tc>
          <w:tcPr>
            <w:tcW w:w="1585" w:type="dxa"/>
            <w:vMerge/>
            <w:vAlign w:val="center"/>
          </w:tcPr>
          <w:p w14:paraId="38A93234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</w:p>
        </w:tc>
        <w:tc>
          <w:tcPr>
            <w:tcW w:w="1392" w:type="dxa"/>
            <w:vMerge/>
            <w:vAlign w:val="center"/>
          </w:tcPr>
          <w:p w14:paraId="4DF7C0CB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4AC05A9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&lt;70 mmHg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4661FD09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140</w:t>
            </w:r>
          </w:p>
        </w:tc>
        <w:tc>
          <w:tcPr>
            <w:tcW w:w="920" w:type="dxa"/>
            <w:tcBorders>
              <w:top w:val="nil"/>
              <w:bottom w:val="nil"/>
            </w:tcBorders>
            <w:vAlign w:val="center"/>
          </w:tcPr>
          <w:p w14:paraId="3835178A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1</w:t>
            </w:r>
          </w:p>
        </w:tc>
        <w:tc>
          <w:tcPr>
            <w:tcW w:w="1867" w:type="dxa"/>
            <w:tcBorders>
              <w:top w:val="nil"/>
              <w:bottom w:val="nil"/>
            </w:tcBorders>
            <w:vAlign w:val="center"/>
          </w:tcPr>
          <w:p w14:paraId="67D4D7BB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2.89 (0.30–27.85)</w:t>
            </w:r>
          </w:p>
        </w:tc>
        <w:tc>
          <w:tcPr>
            <w:tcW w:w="976" w:type="dxa"/>
            <w:tcBorders>
              <w:top w:val="nil"/>
              <w:bottom w:val="nil"/>
            </w:tcBorders>
            <w:vAlign w:val="center"/>
          </w:tcPr>
          <w:p w14:paraId="6B650F87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0.351</w:t>
            </w:r>
          </w:p>
        </w:tc>
      </w:tr>
      <w:tr w:rsidR="00455F4C" w:rsidRPr="00455F4C" w14:paraId="2D04C9DB" w14:textId="77777777" w:rsidTr="00455F4C">
        <w:trPr>
          <w:jc w:val="center"/>
        </w:trPr>
        <w:tc>
          <w:tcPr>
            <w:tcW w:w="1585" w:type="dxa"/>
            <w:vMerge/>
            <w:tcBorders>
              <w:bottom w:val="single" w:sz="4" w:space="0" w:color="auto"/>
            </w:tcBorders>
            <w:vAlign w:val="center"/>
          </w:tcPr>
          <w:p w14:paraId="7F2C341F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</w:p>
        </w:tc>
        <w:tc>
          <w:tcPr>
            <w:tcW w:w="1392" w:type="dxa"/>
            <w:vMerge/>
            <w:tcBorders>
              <w:bottom w:val="single" w:sz="4" w:space="0" w:color="auto"/>
            </w:tcBorders>
            <w:vAlign w:val="center"/>
          </w:tcPr>
          <w:p w14:paraId="5DD87981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14:paraId="54BA2799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&lt;60 mmHg</w:t>
            </w: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vAlign w:val="center"/>
          </w:tcPr>
          <w:p w14:paraId="048DFB57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140</w:t>
            </w:r>
          </w:p>
        </w:tc>
        <w:tc>
          <w:tcPr>
            <w:tcW w:w="920" w:type="dxa"/>
            <w:tcBorders>
              <w:top w:val="nil"/>
              <w:bottom w:val="single" w:sz="4" w:space="0" w:color="auto"/>
            </w:tcBorders>
            <w:vAlign w:val="center"/>
          </w:tcPr>
          <w:p w14:paraId="55EFFB84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0</w:t>
            </w:r>
          </w:p>
        </w:tc>
        <w:tc>
          <w:tcPr>
            <w:tcW w:w="1867" w:type="dxa"/>
            <w:tcBorders>
              <w:top w:val="nil"/>
              <w:bottom w:val="single" w:sz="4" w:space="0" w:color="auto"/>
            </w:tcBorders>
            <w:vAlign w:val="center"/>
          </w:tcPr>
          <w:p w14:paraId="7290D8A8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NA</w:t>
            </w:r>
          </w:p>
        </w:tc>
        <w:tc>
          <w:tcPr>
            <w:tcW w:w="976" w:type="dxa"/>
            <w:tcBorders>
              <w:top w:val="nil"/>
              <w:bottom w:val="single" w:sz="4" w:space="0" w:color="auto"/>
            </w:tcBorders>
            <w:vAlign w:val="center"/>
          </w:tcPr>
          <w:p w14:paraId="39D49FD7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NA</w:t>
            </w:r>
          </w:p>
        </w:tc>
      </w:tr>
      <w:tr w:rsidR="00455F4C" w:rsidRPr="00455F4C" w14:paraId="157A56BF" w14:textId="77777777" w:rsidTr="00455F4C">
        <w:trPr>
          <w:jc w:val="center"/>
        </w:trPr>
        <w:tc>
          <w:tcPr>
            <w:tcW w:w="1585" w:type="dxa"/>
            <w:vMerge w:val="restart"/>
            <w:tcBorders>
              <w:top w:val="single" w:sz="4" w:space="0" w:color="auto"/>
            </w:tcBorders>
            <w:vAlign w:val="center"/>
          </w:tcPr>
          <w:p w14:paraId="2BC0ACBA" w14:textId="2A5A8E9B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Intermediate-risk</w:t>
            </w:r>
            <w:r w:rsidR="00455F4C" w:rsidRPr="00455F4C">
              <w:rPr>
                <w:rFonts w:ascii="Minion Pro" w:hAnsi="Minion Pro" w:cs="Minion Pro" w:hint="eastAsia"/>
                <w:sz w:val="20"/>
                <w:szCs w:val="18"/>
                <w:vertAlign w:val="superscript"/>
              </w:rPr>
              <w:t>2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</w:tcBorders>
            <w:vAlign w:val="center"/>
          </w:tcPr>
          <w:p w14:paraId="19AF3111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Severe perfusion-related morbidity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vAlign w:val="center"/>
          </w:tcPr>
          <w:p w14:paraId="70FA1651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&lt;80 mmHg</w:t>
            </w:r>
          </w:p>
        </w:tc>
        <w:tc>
          <w:tcPr>
            <w:tcW w:w="1202" w:type="dxa"/>
            <w:tcBorders>
              <w:top w:val="single" w:sz="4" w:space="0" w:color="auto"/>
              <w:bottom w:val="nil"/>
            </w:tcBorders>
            <w:vAlign w:val="center"/>
          </w:tcPr>
          <w:p w14:paraId="453703A8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525</w:t>
            </w:r>
          </w:p>
        </w:tc>
        <w:tc>
          <w:tcPr>
            <w:tcW w:w="920" w:type="dxa"/>
            <w:tcBorders>
              <w:top w:val="single" w:sz="4" w:space="0" w:color="auto"/>
              <w:bottom w:val="nil"/>
            </w:tcBorders>
            <w:vAlign w:val="center"/>
          </w:tcPr>
          <w:p w14:paraId="6A9422F7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23</w:t>
            </w:r>
          </w:p>
        </w:tc>
        <w:tc>
          <w:tcPr>
            <w:tcW w:w="1867" w:type="dxa"/>
            <w:tcBorders>
              <w:top w:val="single" w:sz="4" w:space="0" w:color="auto"/>
              <w:bottom w:val="nil"/>
            </w:tcBorders>
            <w:vAlign w:val="center"/>
          </w:tcPr>
          <w:p w14:paraId="500E3CE4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1.76 (0.98–3.16)</w:t>
            </w:r>
          </w:p>
        </w:tc>
        <w:tc>
          <w:tcPr>
            <w:tcW w:w="976" w:type="dxa"/>
            <w:tcBorders>
              <w:top w:val="single" w:sz="4" w:space="0" w:color="auto"/>
              <w:bottom w:val="nil"/>
            </w:tcBorders>
            <w:vAlign w:val="center"/>
          </w:tcPr>
          <w:p w14:paraId="4D42C487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0.058</w:t>
            </w:r>
          </w:p>
        </w:tc>
      </w:tr>
      <w:tr w:rsidR="00455F4C" w:rsidRPr="00455F4C" w14:paraId="73C632AC" w14:textId="77777777" w:rsidTr="00455F4C">
        <w:trPr>
          <w:jc w:val="center"/>
        </w:trPr>
        <w:tc>
          <w:tcPr>
            <w:tcW w:w="1585" w:type="dxa"/>
            <w:vMerge/>
            <w:vAlign w:val="center"/>
          </w:tcPr>
          <w:p w14:paraId="115E9FDA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</w:p>
        </w:tc>
        <w:tc>
          <w:tcPr>
            <w:tcW w:w="1392" w:type="dxa"/>
            <w:vMerge/>
            <w:vAlign w:val="center"/>
          </w:tcPr>
          <w:p w14:paraId="76272617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6ED2D86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&lt;70 mmHg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63F8608B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525</w:t>
            </w:r>
          </w:p>
        </w:tc>
        <w:tc>
          <w:tcPr>
            <w:tcW w:w="920" w:type="dxa"/>
            <w:tcBorders>
              <w:top w:val="nil"/>
              <w:bottom w:val="nil"/>
            </w:tcBorders>
            <w:vAlign w:val="center"/>
          </w:tcPr>
          <w:p w14:paraId="4A9C9FCB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28</w:t>
            </w:r>
          </w:p>
        </w:tc>
        <w:tc>
          <w:tcPr>
            <w:tcW w:w="1867" w:type="dxa"/>
            <w:tcBorders>
              <w:top w:val="nil"/>
              <w:bottom w:val="nil"/>
            </w:tcBorders>
            <w:vAlign w:val="center"/>
          </w:tcPr>
          <w:p w14:paraId="75AB0CC7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1.95 (1.12–3.40)</w:t>
            </w:r>
          </w:p>
        </w:tc>
        <w:tc>
          <w:tcPr>
            <w:tcW w:w="976" w:type="dxa"/>
            <w:tcBorders>
              <w:top w:val="nil"/>
              <w:bottom w:val="nil"/>
            </w:tcBorders>
            <w:vAlign w:val="center"/>
          </w:tcPr>
          <w:p w14:paraId="3E162CEC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0.018</w:t>
            </w:r>
          </w:p>
        </w:tc>
      </w:tr>
      <w:tr w:rsidR="00455F4C" w:rsidRPr="00455F4C" w14:paraId="061EF69D" w14:textId="77777777" w:rsidTr="00455F4C">
        <w:trPr>
          <w:jc w:val="center"/>
        </w:trPr>
        <w:tc>
          <w:tcPr>
            <w:tcW w:w="1585" w:type="dxa"/>
            <w:vMerge/>
            <w:vAlign w:val="center"/>
          </w:tcPr>
          <w:p w14:paraId="1592E1A1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</w:p>
        </w:tc>
        <w:tc>
          <w:tcPr>
            <w:tcW w:w="1392" w:type="dxa"/>
            <w:vMerge/>
            <w:tcBorders>
              <w:bottom w:val="single" w:sz="4" w:space="0" w:color="auto"/>
            </w:tcBorders>
            <w:vAlign w:val="center"/>
          </w:tcPr>
          <w:p w14:paraId="3EE69BC1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14:paraId="2FF212C8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&lt;60 mmHg</w:t>
            </w: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vAlign w:val="center"/>
          </w:tcPr>
          <w:p w14:paraId="74C74A0F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525</w:t>
            </w:r>
          </w:p>
        </w:tc>
        <w:tc>
          <w:tcPr>
            <w:tcW w:w="920" w:type="dxa"/>
            <w:tcBorders>
              <w:top w:val="nil"/>
              <w:bottom w:val="single" w:sz="4" w:space="0" w:color="auto"/>
            </w:tcBorders>
            <w:vAlign w:val="center"/>
          </w:tcPr>
          <w:p w14:paraId="1C7125A0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21</w:t>
            </w:r>
          </w:p>
        </w:tc>
        <w:tc>
          <w:tcPr>
            <w:tcW w:w="1867" w:type="dxa"/>
            <w:tcBorders>
              <w:top w:val="nil"/>
              <w:bottom w:val="single" w:sz="4" w:space="0" w:color="auto"/>
            </w:tcBorders>
            <w:vAlign w:val="center"/>
          </w:tcPr>
          <w:p w14:paraId="3BBD2E7C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1.88 (1.05–3.36)</w:t>
            </w:r>
          </w:p>
        </w:tc>
        <w:tc>
          <w:tcPr>
            <w:tcW w:w="976" w:type="dxa"/>
            <w:tcBorders>
              <w:top w:val="nil"/>
              <w:bottom w:val="single" w:sz="4" w:space="0" w:color="auto"/>
            </w:tcBorders>
            <w:vAlign w:val="center"/>
          </w:tcPr>
          <w:p w14:paraId="63AD3033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0.034</w:t>
            </w:r>
          </w:p>
        </w:tc>
      </w:tr>
      <w:tr w:rsidR="00455F4C" w:rsidRPr="00455F4C" w14:paraId="619CFE35" w14:textId="77777777" w:rsidTr="00455F4C">
        <w:trPr>
          <w:jc w:val="center"/>
        </w:trPr>
        <w:tc>
          <w:tcPr>
            <w:tcW w:w="1585" w:type="dxa"/>
            <w:vMerge/>
            <w:vAlign w:val="center"/>
          </w:tcPr>
          <w:p w14:paraId="6CE78F98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</w:p>
        </w:tc>
        <w:tc>
          <w:tcPr>
            <w:tcW w:w="1392" w:type="dxa"/>
            <w:vMerge w:val="restart"/>
            <w:vAlign w:val="center"/>
          </w:tcPr>
          <w:p w14:paraId="0A7C9AA8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All-cause mortality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6945C9D0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&lt;80 mmHg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center"/>
          </w:tcPr>
          <w:p w14:paraId="355C25E7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525</w:t>
            </w:r>
          </w:p>
        </w:tc>
        <w:tc>
          <w:tcPr>
            <w:tcW w:w="920" w:type="dxa"/>
            <w:tcBorders>
              <w:top w:val="nil"/>
              <w:bottom w:val="nil"/>
            </w:tcBorders>
            <w:vAlign w:val="center"/>
          </w:tcPr>
          <w:p w14:paraId="2B26D3A1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9</w:t>
            </w:r>
          </w:p>
        </w:tc>
        <w:tc>
          <w:tcPr>
            <w:tcW w:w="1867" w:type="dxa"/>
            <w:tcBorders>
              <w:top w:val="nil"/>
              <w:bottom w:val="nil"/>
            </w:tcBorders>
            <w:vAlign w:val="center"/>
          </w:tcPr>
          <w:p w14:paraId="0B91909F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2.21 (0.89–5.50)</w:t>
            </w:r>
          </w:p>
        </w:tc>
        <w:tc>
          <w:tcPr>
            <w:tcW w:w="976" w:type="dxa"/>
            <w:tcBorders>
              <w:top w:val="nil"/>
              <w:bottom w:val="nil"/>
            </w:tcBorders>
            <w:vAlign w:val="center"/>
          </w:tcPr>
          <w:p w14:paraId="6A65E206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0.089</w:t>
            </w:r>
          </w:p>
        </w:tc>
      </w:tr>
      <w:tr w:rsidR="00455F4C" w:rsidRPr="00455F4C" w14:paraId="0E450A12" w14:textId="77777777" w:rsidTr="00455F4C">
        <w:trPr>
          <w:jc w:val="center"/>
        </w:trPr>
        <w:tc>
          <w:tcPr>
            <w:tcW w:w="1585" w:type="dxa"/>
            <w:vMerge/>
            <w:vAlign w:val="center"/>
          </w:tcPr>
          <w:p w14:paraId="5ED12506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</w:p>
        </w:tc>
        <w:tc>
          <w:tcPr>
            <w:tcW w:w="1392" w:type="dxa"/>
            <w:vMerge/>
            <w:tcBorders>
              <w:bottom w:val="single" w:sz="4" w:space="0" w:color="auto"/>
            </w:tcBorders>
            <w:vAlign w:val="center"/>
          </w:tcPr>
          <w:p w14:paraId="188634FE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vAlign w:val="center"/>
          </w:tcPr>
          <w:p w14:paraId="6FABB7A2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&lt;70 mmHg</w:t>
            </w: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  <w:vAlign w:val="center"/>
          </w:tcPr>
          <w:p w14:paraId="29B0A702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525</w:t>
            </w:r>
          </w:p>
        </w:tc>
        <w:tc>
          <w:tcPr>
            <w:tcW w:w="920" w:type="dxa"/>
            <w:tcBorders>
              <w:top w:val="nil"/>
              <w:bottom w:val="single" w:sz="4" w:space="0" w:color="auto"/>
            </w:tcBorders>
            <w:vAlign w:val="center"/>
          </w:tcPr>
          <w:p w14:paraId="7903B397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11</w:t>
            </w:r>
          </w:p>
        </w:tc>
        <w:tc>
          <w:tcPr>
            <w:tcW w:w="1867" w:type="dxa"/>
            <w:tcBorders>
              <w:top w:val="nil"/>
              <w:bottom w:val="single" w:sz="4" w:space="0" w:color="auto"/>
            </w:tcBorders>
            <w:vAlign w:val="center"/>
          </w:tcPr>
          <w:p w14:paraId="1E0DAD15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2.53 (1.08–5.92)</w:t>
            </w:r>
          </w:p>
        </w:tc>
        <w:tc>
          <w:tcPr>
            <w:tcW w:w="976" w:type="dxa"/>
            <w:tcBorders>
              <w:top w:val="nil"/>
              <w:bottom w:val="single" w:sz="4" w:space="0" w:color="auto"/>
            </w:tcBorders>
            <w:vAlign w:val="center"/>
          </w:tcPr>
          <w:p w14:paraId="0DB5B09C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0.033</w:t>
            </w:r>
          </w:p>
        </w:tc>
      </w:tr>
      <w:tr w:rsidR="00455F4C" w:rsidRPr="00455F4C" w14:paraId="32D35A5A" w14:textId="77777777" w:rsidTr="00455F4C">
        <w:trPr>
          <w:jc w:val="center"/>
        </w:trPr>
        <w:tc>
          <w:tcPr>
            <w:tcW w:w="1585" w:type="dxa"/>
            <w:vMerge/>
            <w:tcBorders>
              <w:bottom w:val="single" w:sz="4" w:space="0" w:color="auto"/>
            </w:tcBorders>
            <w:vAlign w:val="center"/>
          </w:tcPr>
          <w:p w14:paraId="09A00D43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98A12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ICU admission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2C05C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&lt;70 mmHg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A71DF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525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F59CC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218</w:t>
            </w:r>
          </w:p>
        </w:tc>
        <w:tc>
          <w:tcPr>
            <w:tcW w:w="1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149C29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2.18 (1.36–3.49)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79B73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0.001</w:t>
            </w:r>
          </w:p>
        </w:tc>
      </w:tr>
      <w:tr w:rsidR="00455F4C" w:rsidRPr="00455F4C" w14:paraId="5BBD18BA" w14:textId="77777777" w:rsidTr="00455F4C">
        <w:trPr>
          <w:jc w:val="center"/>
        </w:trPr>
        <w:tc>
          <w:tcPr>
            <w:tcW w:w="1585" w:type="dxa"/>
            <w:vMerge w:val="restart"/>
            <w:tcBorders>
              <w:top w:val="single" w:sz="4" w:space="0" w:color="auto"/>
            </w:tcBorders>
            <w:vAlign w:val="center"/>
          </w:tcPr>
          <w:p w14:paraId="713E04C9" w14:textId="5F436EEA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High-risk</w:t>
            </w:r>
            <w:r w:rsidR="00455F4C" w:rsidRPr="00455F4C">
              <w:rPr>
                <w:rFonts w:ascii="Minion Pro" w:hAnsi="Minion Pro" w:cs="Minion Pro" w:hint="eastAsia"/>
                <w:sz w:val="20"/>
                <w:szCs w:val="18"/>
                <w:vertAlign w:val="superscript"/>
              </w:rPr>
              <w:t>3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A87E8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Severe perfusion-related morbidity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CB6E9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&lt;60 mmHg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1C436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140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134F7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19</w:t>
            </w:r>
          </w:p>
        </w:tc>
        <w:tc>
          <w:tcPr>
            <w:tcW w:w="18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9D068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3.12 (1.28–7.56)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CF62E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0.012</w:t>
            </w:r>
          </w:p>
        </w:tc>
      </w:tr>
      <w:tr w:rsidR="00455F4C" w:rsidRPr="00455F4C" w14:paraId="0D61C453" w14:textId="77777777" w:rsidTr="00455F4C">
        <w:trPr>
          <w:jc w:val="center"/>
        </w:trPr>
        <w:tc>
          <w:tcPr>
            <w:tcW w:w="1585" w:type="dxa"/>
            <w:vMerge/>
            <w:vAlign w:val="center"/>
          </w:tcPr>
          <w:p w14:paraId="006A857F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center"/>
          </w:tcPr>
          <w:p w14:paraId="118FF829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All-cause mortality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5B2FF803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&lt;60 mmHg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vAlign w:val="center"/>
          </w:tcPr>
          <w:p w14:paraId="5A4A7C7E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140</w:t>
            </w:r>
          </w:p>
        </w:tc>
        <w:tc>
          <w:tcPr>
            <w:tcW w:w="920" w:type="dxa"/>
            <w:tcBorders>
              <w:top w:val="single" w:sz="4" w:space="0" w:color="auto"/>
            </w:tcBorders>
            <w:vAlign w:val="center"/>
          </w:tcPr>
          <w:p w14:paraId="7696D76B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9</w:t>
            </w:r>
          </w:p>
        </w:tc>
        <w:tc>
          <w:tcPr>
            <w:tcW w:w="1867" w:type="dxa"/>
            <w:tcBorders>
              <w:top w:val="single" w:sz="4" w:space="0" w:color="auto"/>
            </w:tcBorders>
            <w:vAlign w:val="center"/>
          </w:tcPr>
          <w:p w14:paraId="13D3286C" w14:textId="129FA882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4.05 (1.53</w:t>
            </w:r>
            <w:r w:rsidR="008A1EF6" w:rsidRPr="00455F4C">
              <w:rPr>
                <w:rFonts w:ascii="Minion Pro" w:hAnsi="Minion Pro" w:cs="Minion Pro"/>
                <w:sz w:val="20"/>
                <w:szCs w:val="18"/>
              </w:rPr>
              <w:t>–</w:t>
            </w:r>
            <w:r w:rsidRPr="00455F4C">
              <w:rPr>
                <w:rFonts w:ascii="Minion Pro" w:hAnsi="Minion Pro" w:cs="Minion Pro"/>
                <w:sz w:val="20"/>
                <w:szCs w:val="18"/>
              </w:rPr>
              <w:t>10.72)</w:t>
            </w:r>
          </w:p>
        </w:tc>
        <w:tc>
          <w:tcPr>
            <w:tcW w:w="976" w:type="dxa"/>
            <w:tcBorders>
              <w:top w:val="single" w:sz="4" w:space="0" w:color="auto"/>
            </w:tcBorders>
            <w:vAlign w:val="center"/>
          </w:tcPr>
          <w:p w14:paraId="26C27726" w14:textId="77777777" w:rsidR="00E02F19" w:rsidRPr="00455F4C" w:rsidRDefault="00E02F19" w:rsidP="00455F4C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Minion Pro" w:hAnsi="Minion Pro" w:cs="Minion Pro"/>
                <w:sz w:val="20"/>
                <w:szCs w:val="18"/>
              </w:rPr>
            </w:pPr>
            <w:r w:rsidRPr="00455F4C">
              <w:rPr>
                <w:rFonts w:ascii="Minion Pro" w:hAnsi="Minion Pro" w:cs="Minion Pro"/>
                <w:sz w:val="20"/>
                <w:szCs w:val="18"/>
              </w:rPr>
              <w:t>0.005</w:t>
            </w:r>
          </w:p>
        </w:tc>
      </w:tr>
    </w:tbl>
    <w:p w14:paraId="1AD582D1" w14:textId="288F2FFF" w:rsidR="00E02F19" w:rsidRPr="00CD650B" w:rsidRDefault="00455F4C" w:rsidP="00455F4C">
      <w:pPr>
        <w:pStyle w:val="TSP43tablefooter"/>
      </w:pPr>
      <w:r w:rsidRPr="00455F4C">
        <w:rPr>
          <w:rFonts w:eastAsiaTheme="minorEastAsia" w:hint="eastAsia"/>
          <w:vertAlign w:val="superscript"/>
          <w:lang w:eastAsia="zh-CN"/>
        </w:rPr>
        <w:t>1</w:t>
      </w:r>
      <w:r w:rsidR="00E02F19" w:rsidRPr="00CD650B">
        <w:t>Low-risk: Orthopedic minor procedures, thyroid/breast/ophthalmic surgery (confounders adjusted: age, ASA class, hypertension).</w:t>
      </w:r>
      <w:r>
        <w:rPr>
          <w:rFonts w:hint="eastAsia"/>
        </w:rPr>
        <w:t xml:space="preserve"> </w:t>
      </w:r>
      <w:r w:rsidRPr="00455F4C">
        <w:rPr>
          <w:rFonts w:eastAsiaTheme="minorEastAsia" w:hint="eastAsia"/>
          <w:vertAlign w:val="superscript"/>
          <w:lang w:eastAsia="zh-CN"/>
        </w:rPr>
        <w:t>2</w:t>
      </w:r>
      <w:r w:rsidR="00E02F19" w:rsidRPr="00CD650B">
        <w:t>Intermediate-risk: Digestive, urological, gynecological surgery (confounders adjusted: age, ASA class, structural heart disease).</w:t>
      </w:r>
      <w:r>
        <w:rPr>
          <w:rFonts w:hint="eastAsia"/>
        </w:rPr>
        <w:t xml:space="preserve"> </w:t>
      </w:r>
      <w:r w:rsidRPr="00455F4C">
        <w:rPr>
          <w:rFonts w:eastAsiaTheme="minorEastAsia" w:hint="eastAsia"/>
          <w:vertAlign w:val="superscript"/>
          <w:lang w:eastAsia="zh-CN"/>
        </w:rPr>
        <w:t>3</w:t>
      </w:r>
      <w:r w:rsidR="00E02F19" w:rsidRPr="00CD650B">
        <w:t>High-risk: Neurosurgery, thoracic, major abdominal surgery (confounders adjusted: age, ASA class, renal dysfunction).</w:t>
      </w:r>
      <w:r>
        <w:rPr>
          <w:rFonts w:hint="eastAsia"/>
        </w:rPr>
        <w:t xml:space="preserve"> </w:t>
      </w:r>
      <w:r w:rsidRPr="008A1EF6">
        <w:rPr>
          <w:rFonts w:eastAsiaTheme="minorEastAsia" w:hint="eastAsia"/>
          <w:vertAlign w:val="superscript"/>
          <w:lang w:eastAsia="zh-CN"/>
        </w:rPr>
        <w:t>4</w:t>
      </w:r>
      <w:r w:rsidR="00E02F19" w:rsidRPr="008A1EF6">
        <w:t>ICU</w:t>
      </w:r>
      <w:r w:rsidR="00E02F19" w:rsidRPr="00CD650B">
        <w:t xml:space="preserve"> admission results for low-/high-risk tiers are not shown due to no significant association; all confounders are consistent with the main model (Table 3)</w:t>
      </w:r>
      <w:r>
        <w:t>.</w:t>
      </w:r>
    </w:p>
    <w:p w14:paraId="1012C172" w14:textId="39BDB8A1" w:rsidR="00E02F19" w:rsidRPr="008A1EF6" w:rsidRDefault="008A1EF6" w:rsidP="008A1EF6">
      <w:pPr>
        <w:pStyle w:val="TSP41tablecaption"/>
        <w:jc w:val="center"/>
      </w:pPr>
      <w:r w:rsidRPr="008A1EF6">
        <w:rPr>
          <w:b/>
          <w:bCs/>
        </w:rPr>
        <w:t>Table S2:</w:t>
      </w:r>
      <w:r w:rsidR="00E02F19" w:rsidRPr="008A1EF6">
        <w:t xml:space="preserve"> Interaction analysis between intraoperative MAP thresholds and key factors (from Table 3)</w:t>
      </w:r>
      <w:r w:rsidRPr="008A1EF6">
        <w:t>.</w:t>
      </w:r>
    </w:p>
    <w:tbl>
      <w:tblPr>
        <w:tblW w:w="9360" w:type="dxa"/>
        <w:jc w:val="center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5"/>
        <w:gridCol w:w="3869"/>
        <w:gridCol w:w="1459"/>
        <w:gridCol w:w="1121"/>
        <w:gridCol w:w="746"/>
      </w:tblGrid>
      <w:tr w:rsidR="008A1EF6" w:rsidRPr="008A1EF6" w14:paraId="628FB898" w14:textId="77777777" w:rsidTr="008A1EF6">
        <w:trPr>
          <w:jc w:val="center"/>
        </w:trPr>
        <w:tc>
          <w:tcPr>
            <w:tcW w:w="1843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A93D9FA" w14:textId="77777777" w:rsidR="00E02F19" w:rsidRPr="008A1EF6" w:rsidRDefault="00E02F19" w:rsidP="008A1EF6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Minion Pro" w:hAnsi="Minion Pro" w:cs="Minion Pro"/>
                <w:b/>
                <w:bCs/>
                <w:sz w:val="20"/>
                <w:szCs w:val="18"/>
              </w:rPr>
            </w:pPr>
            <w:r w:rsidRPr="008A1EF6">
              <w:rPr>
                <w:rFonts w:ascii="Minion Pro" w:hAnsi="Minion Pro" w:cs="Minion Pro"/>
                <w:b/>
                <w:bCs/>
                <w:sz w:val="20"/>
                <w:szCs w:val="18"/>
              </w:rPr>
              <w:t>Outcome</w:t>
            </w:r>
          </w:p>
        </w:tc>
        <w:tc>
          <w:tcPr>
            <w:tcW w:w="329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51E2210" w14:textId="77777777" w:rsidR="00E02F19" w:rsidRPr="008A1EF6" w:rsidRDefault="00E02F19" w:rsidP="008A1EF6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Minion Pro" w:hAnsi="Minion Pro" w:cs="Minion Pro"/>
                <w:b/>
                <w:bCs/>
                <w:sz w:val="20"/>
                <w:szCs w:val="18"/>
              </w:rPr>
            </w:pPr>
            <w:r w:rsidRPr="008A1EF6">
              <w:rPr>
                <w:rFonts w:ascii="Minion Pro" w:hAnsi="Minion Pro" w:cs="Minion Pro"/>
                <w:b/>
                <w:bCs/>
                <w:sz w:val="20"/>
                <w:szCs w:val="18"/>
              </w:rPr>
              <w:t>Interaction Pair</w:t>
            </w:r>
          </w:p>
        </w:tc>
        <w:tc>
          <w:tcPr>
            <w:tcW w:w="124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00D9C47" w14:textId="77777777" w:rsidR="00E02F19" w:rsidRPr="008A1EF6" w:rsidRDefault="00E02F19" w:rsidP="008A1EF6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Minion Pro" w:hAnsi="Minion Pro" w:cs="Minion Pro"/>
                <w:b/>
                <w:bCs/>
                <w:sz w:val="20"/>
                <w:szCs w:val="18"/>
              </w:rPr>
            </w:pPr>
            <w:r w:rsidRPr="008A1EF6">
              <w:rPr>
                <w:rFonts w:ascii="Minion Pro" w:hAnsi="Minion Pro" w:cs="Minion Pro"/>
                <w:b/>
                <w:bCs/>
                <w:sz w:val="20"/>
                <w:szCs w:val="18"/>
              </w:rPr>
              <w:t>Adjusted OR</w:t>
            </w:r>
          </w:p>
        </w:tc>
        <w:tc>
          <w:tcPr>
            <w:tcW w:w="954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53108D1" w14:textId="77777777" w:rsidR="00E02F19" w:rsidRPr="008A1EF6" w:rsidRDefault="00E02F19" w:rsidP="008A1EF6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Minion Pro" w:hAnsi="Minion Pro" w:cs="Minion Pro"/>
                <w:b/>
                <w:bCs/>
                <w:sz w:val="20"/>
                <w:szCs w:val="18"/>
              </w:rPr>
            </w:pPr>
            <w:r w:rsidRPr="008A1EF6">
              <w:rPr>
                <w:rFonts w:ascii="Minion Pro" w:hAnsi="Minion Pro" w:cs="Minion Pro"/>
                <w:b/>
                <w:bCs/>
                <w:sz w:val="20"/>
                <w:szCs w:val="18"/>
              </w:rPr>
              <w:t>95% CI</w:t>
            </w:r>
          </w:p>
        </w:tc>
        <w:tc>
          <w:tcPr>
            <w:tcW w:w="63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52BF62B" w14:textId="77777777" w:rsidR="00E02F19" w:rsidRPr="008A1EF6" w:rsidRDefault="00E02F19" w:rsidP="008A1EF6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Minion Pro" w:hAnsi="Minion Pro" w:cs="Minion Pro"/>
                <w:b/>
                <w:bCs/>
                <w:i/>
                <w:iCs/>
                <w:sz w:val="20"/>
                <w:szCs w:val="18"/>
              </w:rPr>
            </w:pPr>
            <w:r w:rsidRPr="008A1EF6">
              <w:rPr>
                <w:rFonts w:ascii="Minion Pro" w:hAnsi="Minion Pro" w:cs="Minion Pro"/>
                <w:b/>
                <w:bCs/>
                <w:i/>
                <w:iCs/>
                <w:sz w:val="20"/>
                <w:szCs w:val="18"/>
              </w:rPr>
              <w:t>P</w:t>
            </w:r>
          </w:p>
        </w:tc>
      </w:tr>
      <w:tr w:rsidR="008A1EF6" w:rsidRPr="008A1EF6" w14:paraId="363813F8" w14:textId="77777777" w:rsidTr="008A1EF6">
        <w:trPr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</w:tcBorders>
            <w:vAlign w:val="center"/>
          </w:tcPr>
          <w:p w14:paraId="3EA98B6A" w14:textId="77777777" w:rsidR="00E02F19" w:rsidRPr="008A1EF6" w:rsidRDefault="00E02F19" w:rsidP="008A1EF6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Minion Pro" w:hAnsi="Minion Pro" w:cs="Minion Pro"/>
                <w:sz w:val="20"/>
                <w:szCs w:val="18"/>
              </w:rPr>
            </w:pPr>
            <w:r w:rsidRPr="008A1EF6">
              <w:rPr>
                <w:rFonts w:ascii="Minion Pro" w:hAnsi="Minion Pro" w:cs="Minion Pro"/>
                <w:sz w:val="20"/>
                <w:szCs w:val="18"/>
              </w:rPr>
              <w:t>Postoperative severe perfusion-related morbidity</w:t>
            </w:r>
          </w:p>
        </w:tc>
        <w:tc>
          <w:tcPr>
            <w:tcW w:w="3294" w:type="dxa"/>
            <w:tcBorders>
              <w:top w:val="single" w:sz="4" w:space="0" w:color="auto"/>
            </w:tcBorders>
            <w:vAlign w:val="center"/>
          </w:tcPr>
          <w:p w14:paraId="09564671" w14:textId="77777777" w:rsidR="00E02F19" w:rsidRPr="008A1EF6" w:rsidRDefault="00E02F19" w:rsidP="008A1EF6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Minion Pro" w:hAnsi="Minion Pro" w:cs="Minion Pro"/>
                <w:sz w:val="20"/>
                <w:szCs w:val="18"/>
              </w:rPr>
            </w:pPr>
            <w:r w:rsidRPr="008A1EF6">
              <w:rPr>
                <w:rFonts w:ascii="Minion Pro" w:hAnsi="Minion Pro" w:cs="Minion Pro"/>
                <w:sz w:val="20"/>
                <w:szCs w:val="18"/>
              </w:rPr>
              <w:t>MAP &lt; 60 mmHg × Renal dysfunction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center"/>
          </w:tcPr>
          <w:p w14:paraId="4DD903DD" w14:textId="77777777" w:rsidR="00E02F19" w:rsidRPr="008A1EF6" w:rsidRDefault="00E02F19" w:rsidP="008A1EF6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Minion Pro" w:hAnsi="Minion Pro" w:cs="Minion Pro"/>
                <w:sz w:val="20"/>
                <w:szCs w:val="18"/>
              </w:rPr>
            </w:pPr>
            <w:r w:rsidRPr="008A1EF6">
              <w:rPr>
                <w:rFonts w:ascii="Minion Pro" w:hAnsi="Minion Pro" w:cs="Minion Pro"/>
                <w:sz w:val="20"/>
                <w:szCs w:val="18"/>
              </w:rPr>
              <w:t>1.18</w:t>
            </w:r>
          </w:p>
        </w:tc>
        <w:tc>
          <w:tcPr>
            <w:tcW w:w="954" w:type="dxa"/>
            <w:tcBorders>
              <w:top w:val="single" w:sz="4" w:space="0" w:color="auto"/>
            </w:tcBorders>
            <w:vAlign w:val="center"/>
          </w:tcPr>
          <w:p w14:paraId="19761293" w14:textId="77777777" w:rsidR="00E02F19" w:rsidRPr="008A1EF6" w:rsidRDefault="00E02F19" w:rsidP="008A1EF6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Minion Pro" w:hAnsi="Minion Pro" w:cs="Minion Pro"/>
                <w:sz w:val="20"/>
                <w:szCs w:val="18"/>
              </w:rPr>
            </w:pPr>
            <w:r w:rsidRPr="008A1EF6">
              <w:rPr>
                <w:rFonts w:ascii="Minion Pro" w:hAnsi="Minion Pro" w:cs="Minion Pro"/>
                <w:sz w:val="20"/>
                <w:szCs w:val="18"/>
              </w:rPr>
              <w:t>0.52–2.68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61B34A59" w14:textId="77777777" w:rsidR="00E02F19" w:rsidRPr="008A1EF6" w:rsidRDefault="00E02F19" w:rsidP="008A1EF6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Minion Pro" w:hAnsi="Minion Pro" w:cs="Minion Pro"/>
                <w:sz w:val="20"/>
                <w:szCs w:val="18"/>
              </w:rPr>
            </w:pPr>
            <w:r w:rsidRPr="008A1EF6">
              <w:rPr>
                <w:rFonts w:ascii="Minion Pro" w:hAnsi="Minion Pro" w:cs="Minion Pro"/>
                <w:sz w:val="20"/>
                <w:szCs w:val="18"/>
              </w:rPr>
              <w:t>0.689</w:t>
            </w:r>
          </w:p>
        </w:tc>
      </w:tr>
      <w:tr w:rsidR="008A1EF6" w:rsidRPr="008A1EF6" w14:paraId="10DE9241" w14:textId="77777777" w:rsidTr="008A1EF6">
        <w:trPr>
          <w:jc w:val="center"/>
        </w:trPr>
        <w:tc>
          <w:tcPr>
            <w:tcW w:w="1843" w:type="dxa"/>
            <w:vMerge/>
            <w:vAlign w:val="center"/>
          </w:tcPr>
          <w:p w14:paraId="2062F08E" w14:textId="77777777" w:rsidR="00E02F19" w:rsidRPr="008A1EF6" w:rsidRDefault="00E02F19" w:rsidP="008A1EF6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Minion Pro" w:hAnsi="Minion Pro" w:cs="Minion Pro"/>
                <w:sz w:val="20"/>
                <w:szCs w:val="18"/>
              </w:rPr>
            </w:pPr>
          </w:p>
        </w:tc>
        <w:tc>
          <w:tcPr>
            <w:tcW w:w="3294" w:type="dxa"/>
            <w:vAlign w:val="center"/>
          </w:tcPr>
          <w:p w14:paraId="0EB33ACD" w14:textId="77777777" w:rsidR="00E02F19" w:rsidRPr="008A1EF6" w:rsidRDefault="00E02F19" w:rsidP="008A1EF6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Minion Pro" w:hAnsi="Minion Pro" w:cs="Minion Pro"/>
                <w:sz w:val="20"/>
                <w:szCs w:val="18"/>
              </w:rPr>
            </w:pPr>
            <w:r w:rsidRPr="008A1EF6">
              <w:rPr>
                <w:rFonts w:ascii="Minion Pro" w:hAnsi="Minion Pro" w:cs="Minion Pro"/>
                <w:sz w:val="20"/>
                <w:szCs w:val="18"/>
              </w:rPr>
              <w:t>MAP &lt; 60 mmHg × Structural heart disease</w:t>
            </w:r>
          </w:p>
        </w:tc>
        <w:tc>
          <w:tcPr>
            <w:tcW w:w="1242" w:type="dxa"/>
            <w:vAlign w:val="center"/>
          </w:tcPr>
          <w:p w14:paraId="0CE37B54" w14:textId="77777777" w:rsidR="00E02F19" w:rsidRPr="008A1EF6" w:rsidRDefault="00E02F19" w:rsidP="008A1EF6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Minion Pro" w:hAnsi="Minion Pro" w:cs="Minion Pro"/>
                <w:sz w:val="20"/>
                <w:szCs w:val="18"/>
              </w:rPr>
            </w:pPr>
            <w:r w:rsidRPr="008A1EF6">
              <w:rPr>
                <w:rFonts w:ascii="Minion Pro" w:hAnsi="Minion Pro" w:cs="Minion Pro"/>
                <w:sz w:val="20"/>
                <w:szCs w:val="18"/>
              </w:rPr>
              <w:t>1.25</w:t>
            </w:r>
          </w:p>
        </w:tc>
        <w:tc>
          <w:tcPr>
            <w:tcW w:w="954" w:type="dxa"/>
            <w:vAlign w:val="center"/>
          </w:tcPr>
          <w:p w14:paraId="0DFF097B" w14:textId="77777777" w:rsidR="00E02F19" w:rsidRPr="008A1EF6" w:rsidRDefault="00E02F19" w:rsidP="008A1EF6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Minion Pro" w:hAnsi="Minion Pro" w:cs="Minion Pro"/>
                <w:sz w:val="20"/>
                <w:szCs w:val="18"/>
              </w:rPr>
            </w:pPr>
            <w:r w:rsidRPr="008A1EF6">
              <w:rPr>
                <w:rFonts w:ascii="Minion Pro" w:hAnsi="Minion Pro" w:cs="Minion Pro"/>
                <w:sz w:val="20"/>
                <w:szCs w:val="18"/>
              </w:rPr>
              <w:t>0.59–2.65</w:t>
            </w:r>
          </w:p>
        </w:tc>
        <w:tc>
          <w:tcPr>
            <w:tcW w:w="635" w:type="dxa"/>
            <w:vAlign w:val="center"/>
          </w:tcPr>
          <w:p w14:paraId="0C1B5D7F" w14:textId="77777777" w:rsidR="00E02F19" w:rsidRPr="008A1EF6" w:rsidRDefault="00E02F19" w:rsidP="008A1EF6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Minion Pro" w:hAnsi="Minion Pro" w:cs="Minion Pro"/>
                <w:sz w:val="20"/>
                <w:szCs w:val="18"/>
              </w:rPr>
            </w:pPr>
            <w:r w:rsidRPr="008A1EF6">
              <w:rPr>
                <w:rFonts w:ascii="Minion Pro" w:hAnsi="Minion Pro" w:cs="Minion Pro"/>
                <w:sz w:val="20"/>
                <w:szCs w:val="18"/>
              </w:rPr>
              <w:t>0.562</w:t>
            </w:r>
          </w:p>
        </w:tc>
      </w:tr>
      <w:tr w:rsidR="008A1EF6" w:rsidRPr="008A1EF6" w14:paraId="1F9F27B1" w14:textId="77777777" w:rsidTr="008A1EF6">
        <w:trPr>
          <w:jc w:val="center"/>
        </w:trPr>
        <w:tc>
          <w:tcPr>
            <w:tcW w:w="1843" w:type="dxa"/>
            <w:vMerge/>
            <w:vAlign w:val="center"/>
          </w:tcPr>
          <w:p w14:paraId="459D752B" w14:textId="77777777" w:rsidR="00E02F19" w:rsidRPr="008A1EF6" w:rsidRDefault="00E02F19" w:rsidP="008A1EF6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Minion Pro" w:hAnsi="Minion Pro" w:cs="Minion Pro"/>
                <w:sz w:val="20"/>
                <w:szCs w:val="18"/>
              </w:rPr>
            </w:pPr>
          </w:p>
        </w:tc>
        <w:tc>
          <w:tcPr>
            <w:tcW w:w="3294" w:type="dxa"/>
            <w:vAlign w:val="center"/>
          </w:tcPr>
          <w:p w14:paraId="44A4DD3E" w14:textId="77777777" w:rsidR="00E02F19" w:rsidRPr="008A1EF6" w:rsidRDefault="00E02F19" w:rsidP="008A1EF6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Minion Pro" w:hAnsi="Minion Pro" w:cs="Minion Pro"/>
                <w:sz w:val="20"/>
                <w:szCs w:val="18"/>
              </w:rPr>
            </w:pPr>
            <w:r w:rsidRPr="008A1EF6">
              <w:rPr>
                <w:rFonts w:ascii="Minion Pro" w:hAnsi="Minion Pro" w:cs="Minion Pro"/>
                <w:sz w:val="20"/>
                <w:szCs w:val="18"/>
              </w:rPr>
              <w:t>MAP &lt; 70 mmHg × Hypertension</w:t>
            </w:r>
          </w:p>
        </w:tc>
        <w:tc>
          <w:tcPr>
            <w:tcW w:w="1242" w:type="dxa"/>
            <w:vAlign w:val="center"/>
          </w:tcPr>
          <w:p w14:paraId="03C87F93" w14:textId="77777777" w:rsidR="00E02F19" w:rsidRPr="008A1EF6" w:rsidRDefault="00E02F19" w:rsidP="008A1EF6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Minion Pro" w:hAnsi="Minion Pro" w:cs="Minion Pro"/>
                <w:sz w:val="20"/>
                <w:szCs w:val="18"/>
              </w:rPr>
            </w:pPr>
            <w:r w:rsidRPr="008A1EF6">
              <w:rPr>
                <w:rFonts w:ascii="Minion Pro" w:hAnsi="Minion Pro" w:cs="Minion Pro"/>
                <w:sz w:val="20"/>
                <w:szCs w:val="18"/>
              </w:rPr>
              <w:t>1.09</w:t>
            </w:r>
          </w:p>
        </w:tc>
        <w:tc>
          <w:tcPr>
            <w:tcW w:w="954" w:type="dxa"/>
            <w:vAlign w:val="center"/>
          </w:tcPr>
          <w:p w14:paraId="3DD2DB08" w14:textId="77777777" w:rsidR="00E02F19" w:rsidRPr="008A1EF6" w:rsidRDefault="00E02F19" w:rsidP="008A1EF6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Minion Pro" w:hAnsi="Minion Pro" w:cs="Minion Pro"/>
                <w:sz w:val="20"/>
                <w:szCs w:val="18"/>
              </w:rPr>
            </w:pPr>
            <w:r w:rsidRPr="008A1EF6">
              <w:rPr>
                <w:rFonts w:ascii="Minion Pro" w:hAnsi="Minion Pro" w:cs="Minion Pro"/>
                <w:sz w:val="20"/>
                <w:szCs w:val="18"/>
              </w:rPr>
              <w:t>0.48–2.48</w:t>
            </w:r>
          </w:p>
        </w:tc>
        <w:tc>
          <w:tcPr>
            <w:tcW w:w="635" w:type="dxa"/>
            <w:vAlign w:val="center"/>
          </w:tcPr>
          <w:p w14:paraId="5D299753" w14:textId="77777777" w:rsidR="00E02F19" w:rsidRPr="008A1EF6" w:rsidRDefault="00E02F19" w:rsidP="008A1EF6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Minion Pro" w:hAnsi="Minion Pro" w:cs="Minion Pro"/>
                <w:sz w:val="20"/>
                <w:szCs w:val="18"/>
              </w:rPr>
            </w:pPr>
            <w:r w:rsidRPr="008A1EF6">
              <w:rPr>
                <w:rFonts w:ascii="Minion Pro" w:hAnsi="Minion Pro" w:cs="Minion Pro"/>
                <w:sz w:val="20"/>
                <w:szCs w:val="18"/>
              </w:rPr>
              <w:t>0.827</w:t>
            </w:r>
          </w:p>
        </w:tc>
      </w:tr>
      <w:tr w:rsidR="008A1EF6" w:rsidRPr="008A1EF6" w14:paraId="7F4D0A9B" w14:textId="77777777" w:rsidTr="008A1EF6">
        <w:trPr>
          <w:jc w:val="center"/>
        </w:trPr>
        <w:tc>
          <w:tcPr>
            <w:tcW w:w="1843" w:type="dxa"/>
            <w:vMerge w:val="restart"/>
            <w:vAlign w:val="center"/>
          </w:tcPr>
          <w:p w14:paraId="37C2714A" w14:textId="77777777" w:rsidR="00E02F19" w:rsidRPr="008A1EF6" w:rsidRDefault="00E02F19" w:rsidP="008A1EF6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Minion Pro" w:hAnsi="Minion Pro" w:cs="Minion Pro"/>
                <w:sz w:val="20"/>
                <w:szCs w:val="18"/>
              </w:rPr>
            </w:pPr>
            <w:r w:rsidRPr="008A1EF6">
              <w:rPr>
                <w:rFonts w:ascii="Minion Pro" w:hAnsi="Minion Pro" w:cs="Minion Pro"/>
                <w:sz w:val="20"/>
                <w:szCs w:val="18"/>
              </w:rPr>
              <w:t>Postoperative all-cause mortality</w:t>
            </w:r>
          </w:p>
        </w:tc>
        <w:tc>
          <w:tcPr>
            <w:tcW w:w="3294" w:type="dxa"/>
            <w:vAlign w:val="center"/>
          </w:tcPr>
          <w:p w14:paraId="3981025E" w14:textId="77777777" w:rsidR="00E02F19" w:rsidRPr="008A1EF6" w:rsidRDefault="00E02F19" w:rsidP="008A1EF6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Minion Pro" w:hAnsi="Minion Pro" w:cs="Minion Pro"/>
                <w:sz w:val="20"/>
                <w:szCs w:val="18"/>
              </w:rPr>
            </w:pPr>
            <w:r w:rsidRPr="008A1EF6">
              <w:rPr>
                <w:rFonts w:ascii="Minion Pro" w:hAnsi="Minion Pro" w:cs="Minion Pro"/>
                <w:sz w:val="20"/>
                <w:szCs w:val="18"/>
              </w:rPr>
              <w:t>MAP &lt; 60 mmHg × ASA-IV</w:t>
            </w:r>
          </w:p>
        </w:tc>
        <w:tc>
          <w:tcPr>
            <w:tcW w:w="1242" w:type="dxa"/>
            <w:vAlign w:val="center"/>
          </w:tcPr>
          <w:p w14:paraId="2544ABDD" w14:textId="77777777" w:rsidR="00E02F19" w:rsidRPr="008A1EF6" w:rsidRDefault="00E02F19" w:rsidP="008A1EF6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Minion Pro" w:hAnsi="Minion Pro" w:cs="Minion Pro"/>
                <w:sz w:val="20"/>
                <w:szCs w:val="18"/>
              </w:rPr>
            </w:pPr>
            <w:r w:rsidRPr="008A1EF6">
              <w:rPr>
                <w:rFonts w:ascii="Minion Pro" w:hAnsi="Minion Pro" w:cs="Minion Pro"/>
                <w:sz w:val="20"/>
                <w:szCs w:val="18"/>
              </w:rPr>
              <w:t>1.32</w:t>
            </w:r>
          </w:p>
        </w:tc>
        <w:tc>
          <w:tcPr>
            <w:tcW w:w="954" w:type="dxa"/>
            <w:vAlign w:val="center"/>
          </w:tcPr>
          <w:p w14:paraId="5681FD59" w14:textId="77777777" w:rsidR="00E02F19" w:rsidRPr="008A1EF6" w:rsidRDefault="00E02F19" w:rsidP="008A1EF6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Minion Pro" w:hAnsi="Minion Pro" w:cs="Minion Pro"/>
                <w:sz w:val="20"/>
                <w:szCs w:val="18"/>
              </w:rPr>
            </w:pPr>
            <w:r w:rsidRPr="008A1EF6">
              <w:rPr>
                <w:rFonts w:ascii="Minion Pro" w:hAnsi="Minion Pro" w:cs="Minion Pro"/>
                <w:sz w:val="20"/>
                <w:szCs w:val="18"/>
              </w:rPr>
              <w:t>0.41–4.25</w:t>
            </w:r>
          </w:p>
        </w:tc>
        <w:tc>
          <w:tcPr>
            <w:tcW w:w="635" w:type="dxa"/>
            <w:vAlign w:val="center"/>
          </w:tcPr>
          <w:p w14:paraId="53E124C9" w14:textId="77777777" w:rsidR="00E02F19" w:rsidRPr="008A1EF6" w:rsidRDefault="00E02F19" w:rsidP="008A1EF6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Minion Pro" w:hAnsi="Minion Pro" w:cs="Minion Pro"/>
                <w:sz w:val="20"/>
                <w:szCs w:val="18"/>
              </w:rPr>
            </w:pPr>
            <w:r w:rsidRPr="008A1EF6">
              <w:rPr>
                <w:rFonts w:ascii="Minion Pro" w:hAnsi="Minion Pro" w:cs="Minion Pro"/>
                <w:sz w:val="20"/>
                <w:szCs w:val="18"/>
              </w:rPr>
              <w:t>0.648</w:t>
            </w:r>
          </w:p>
        </w:tc>
      </w:tr>
      <w:tr w:rsidR="008A1EF6" w:rsidRPr="008A1EF6" w14:paraId="46A98519" w14:textId="77777777" w:rsidTr="008A1EF6">
        <w:trPr>
          <w:jc w:val="center"/>
        </w:trPr>
        <w:tc>
          <w:tcPr>
            <w:tcW w:w="1843" w:type="dxa"/>
            <w:vMerge/>
            <w:vAlign w:val="center"/>
          </w:tcPr>
          <w:p w14:paraId="499CE979" w14:textId="77777777" w:rsidR="00E02F19" w:rsidRPr="008A1EF6" w:rsidRDefault="00E02F19" w:rsidP="008A1EF6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Minion Pro" w:hAnsi="Minion Pro" w:cs="Minion Pro"/>
                <w:sz w:val="20"/>
                <w:szCs w:val="18"/>
              </w:rPr>
            </w:pPr>
          </w:p>
        </w:tc>
        <w:tc>
          <w:tcPr>
            <w:tcW w:w="3294" w:type="dxa"/>
            <w:vAlign w:val="center"/>
          </w:tcPr>
          <w:p w14:paraId="23B5A8E4" w14:textId="77777777" w:rsidR="00E02F19" w:rsidRPr="008A1EF6" w:rsidRDefault="00E02F19" w:rsidP="008A1EF6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Minion Pro" w:hAnsi="Minion Pro" w:cs="Minion Pro"/>
                <w:sz w:val="20"/>
                <w:szCs w:val="18"/>
              </w:rPr>
            </w:pPr>
            <w:r w:rsidRPr="008A1EF6">
              <w:rPr>
                <w:rFonts w:ascii="Minion Pro" w:hAnsi="Minion Pro" w:cs="Minion Pro"/>
                <w:sz w:val="20"/>
                <w:szCs w:val="18"/>
              </w:rPr>
              <w:t>MAP &lt; 60 mmHg × Operation style (Neurosurgery)</w:t>
            </w:r>
          </w:p>
        </w:tc>
        <w:tc>
          <w:tcPr>
            <w:tcW w:w="1242" w:type="dxa"/>
            <w:vAlign w:val="center"/>
          </w:tcPr>
          <w:p w14:paraId="0B1CF5D1" w14:textId="77777777" w:rsidR="00E02F19" w:rsidRPr="008A1EF6" w:rsidRDefault="00E02F19" w:rsidP="008A1EF6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Minion Pro" w:hAnsi="Minion Pro" w:cs="Minion Pro"/>
                <w:sz w:val="20"/>
                <w:szCs w:val="18"/>
              </w:rPr>
            </w:pPr>
            <w:r w:rsidRPr="008A1EF6">
              <w:rPr>
                <w:rFonts w:ascii="Minion Pro" w:hAnsi="Minion Pro" w:cs="Minion Pro"/>
                <w:sz w:val="20"/>
                <w:szCs w:val="18"/>
              </w:rPr>
              <w:t>1.21</w:t>
            </w:r>
          </w:p>
        </w:tc>
        <w:tc>
          <w:tcPr>
            <w:tcW w:w="954" w:type="dxa"/>
            <w:vAlign w:val="center"/>
          </w:tcPr>
          <w:p w14:paraId="710F153C" w14:textId="77777777" w:rsidR="00E02F19" w:rsidRPr="008A1EF6" w:rsidRDefault="00E02F19" w:rsidP="008A1EF6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Minion Pro" w:hAnsi="Minion Pro" w:cs="Minion Pro"/>
                <w:sz w:val="20"/>
                <w:szCs w:val="18"/>
              </w:rPr>
            </w:pPr>
            <w:r w:rsidRPr="008A1EF6">
              <w:rPr>
                <w:rFonts w:ascii="Minion Pro" w:hAnsi="Minion Pro" w:cs="Minion Pro"/>
                <w:sz w:val="20"/>
                <w:szCs w:val="18"/>
              </w:rPr>
              <w:t>0.35–4.18</w:t>
            </w:r>
          </w:p>
        </w:tc>
        <w:tc>
          <w:tcPr>
            <w:tcW w:w="635" w:type="dxa"/>
            <w:vAlign w:val="center"/>
          </w:tcPr>
          <w:p w14:paraId="6AAE957B" w14:textId="77777777" w:rsidR="00E02F19" w:rsidRPr="008A1EF6" w:rsidRDefault="00E02F19" w:rsidP="008A1EF6">
            <w:pPr>
              <w:widowControl/>
              <w:autoSpaceDE w:val="0"/>
              <w:autoSpaceDN w:val="0"/>
              <w:adjustRightInd w:val="0"/>
              <w:snapToGrid w:val="0"/>
              <w:spacing w:after="0" w:line="240" w:lineRule="auto"/>
              <w:jc w:val="left"/>
              <w:rPr>
                <w:rFonts w:ascii="Minion Pro" w:hAnsi="Minion Pro" w:cs="Minion Pro"/>
                <w:sz w:val="20"/>
                <w:szCs w:val="18"/>
              </w:rPr>
            </w:pPr>
            <w:r w:rsidRPr="008A1EF6">
              <w:rPr>
                <w:rFonts w:ascii="Minion Pro" w:hAnsi="Minion Pro" w:cs="Minion Pro"/>
                <w:sz w:val="20"/>
                <w:szCs w:val="18"/>
              </w:rPr>
              <w:t>0.771</w:t>
            </w:r>
          </w:p>
        </w:tc>
      </w:tr>
    </w:tbl>
    <w:p w14:paraId="2A2DA812" w14:textId="77777777" w:rsidR="002F333B" w:rsidRPr="008A1EF6" w:rsidRDefault="002F333B" w:rsidP="008A1EF6">
      <w:pPr>
        <w:rPr>
          <w:rFonts w:ascii="Minion Pro" w:hAnsi="Minion Pro"/>
        </w:rPr>
      </w:pPr>
    </w:p>
    <w:sectPr w:rsidR="002F333B" w:rsidRPr="008A1EF6" w:rsidSect="00E02F19">
      <w:headerReference w:type="even" r:id="rId7"/>
      <w:headerReference w:type="default" r:id="rId8"/>
      <w:pgSz w:w="12242" w:h="15842" w:code="1"/>
      <w:pgMar w:top="1440" w:right="1440" w:bottom="1440" w:left="1440" w:header="1020" w:footer="624" w:gutter="0"/>
      <w:pgNumType w:start="1"/>
      <w:cols w:space="425"/>
      <w:titlePg/>
      <w:bidi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C1AC4" w14:textId="77777777" w:rsidR="00282348" w:rsidRDefault="00282348" w:rsidP="00455F4C">
      <w:pPr>
        <w:spacing w:after="0" w:line="240" w:lineRule="auto"/>
      </w:pPr>
      <w:r>
        <w:separator/>
      </w:r>
    </w:p>
  </w:endnote>
  <w:endnote w:type="continuationSeparator" w:id="0">
    <w:p w14:paraId="3BBCB8DE" w14:textId="77777777" w:rsidR="00282348" w:rsidRDefault="00282348" w:rsidP="00455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786E5" w14:textId="77777777" w:rsidR="00282348" w:rsidRDefault="00282348" w:rsidP="00455F4C">
      <w:pPr>
        <w:spacing w:after="0" w:line="240" w:lineRule="auto"/>
      </w:pPr>
      <w:r>
        <w:separator/>
      </w:r>
    </w:p>
  </w:footnote>
  <w:footnote w:type="continuationSeparator" w:id="0">
    <w:p w14:paraId="57428280" w14:textId="77777777" w:rsidR="00282348" w:rsidRDefault="00282348" w:rsidP="00455F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28CD9" w14:textId="77777777" w:rsidR="00E02F19" w:rsidRPr="00724867" w:rsidRDefault="00E02F19" w:rsidP="00724867">
    <w:pPr>
      <w:pStyle w:val="TSPheader"/>
      <w:rPr>
        <w:rFonts w:eastAsiaTheme="minorEastAsia"/>
        <w:lang w:eastAsia="zh-CN"/>
      </w:rPr>
    </w:pPr>
    <w:r w:rsidRPr="00661AA8">
      <w:fldChar w:fldCharType="begin"/>
    </w:r>
    <w:r w:rsidRPr="00661AA8">
      <w:instrText xml:space="preserve"> PAGE   \* MERGEFORMAT </w:instrText>
    </w:r>
    <w:r w:rsidRPr="00661AA8">
      <w:fldChar w:fldCharType="separate"/>
    </w:r>
    <w:r>
      <w:t>2</w:t>
    </w:r>
    <w:r w:rsidRPr="00661AA8">
      <w:fldChar w:fldCharType="end"/>
    </w:r>
    <w:r>
      <w:ptab w:relativeTo="margin" w:alignment="right" w:leader="none"/>
    </w:r>
    <w:proofErr w:type="spellStart"/>
    <w:r w:rsidRPr="009F6A71">
      <w:t>Congenit</w:t>
    </w:r>
    <w:proofErr w:type="spellEnd"/>
    <w:r w:rsidRPr="009F6A71">
      <w:t xml:space="preserve"> Heart Dis</w:t>
    </w:r>
    <w:r>
      <w:t>.</w:t>
    </w:r>
    <w:r w:rsidRPr="00900A21">
      <w:t xml:space="preserve"> </w:t>
    </w:r>
    <w:proofErr w:type="gramStart"/>
    <w:r w:rsidRPr="00900A21">
      <w:t>202</w:t>
    </w:r>
    <w:r>
      <w:rPr>
        <w:rFonts w:eastAsiaTheme="minorEastAsia" w:hint="eastAsia"/>
        <w:lang w:eastAsia="zh-CN"/>
      </w:rPr>
      <w:t>5</w:t>
    </w:r>
    <w:r>
      <w:t>;</w:t>
    </w:r>
    <w:r>
      <w:rPr>
        <w:rFonts w:hint="eastAsia"/>
      </w:rPr>
      <w:t>volume</w:t>
    </w:r>
    <w:proofErr w:type="gramEnd"/>
    <w:r>
      <w:rPr>
        <w:rFonts w:hint="eastAsia"/>
      </w:rPr>
      <w:t>(</w:t>
    </w:r>
    <w:r>
      <w:t>issue)</w:t>
    </w:r>
  </w:p>
  <w:p w14:paraId="111245EA" w14:textId="77777777" w:rsidR="00E02F19" w:rsidRDefault="00E02F19" w:rsidP="00724867">
    <w:pPr>
      <w:pStyle w:val="Header"/>
      <w:pBdr>
        <w:bottom w:val="none" w:sz="0" w:space="0" w:color="auto"/>
      </w:pBdr>
      <w:spacing w:after="240" w:line="100" w:lineRule="atLeast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BA584" w14:textId="77777777" w:rsidR="00E02F19" w:rsidRDefault="00E02F19" w:rsidP="00673B6B">
    <w:pPr>
      <w:pStyle w:val="TSPheader"/>
    </w:pPr>
    <w:proofErr w:type="spellStart"/>
    <w:r w:rsidRPr="009F6A71">
      <w:t>Congenit</w:t>
    </w:r>
    <w:proofErr w:type="spellEnd"/>
    <w:r w:rsidRPr="009F6A71">
      <w:t xml:space="preserve"> Heart Dis</w:t>
    </w:r>
    <w:r>
      <w:t>.</w:t>
    </w:r>
    <w:r w:rsidRPr="00900A21">
      <w:t xml:space="preserve"> </w:t>
    </w:r>
    <w:proofErr w:type="gramStart"/>
    <w:r w:rsidRPr="00900A21">
      <w:t>202</w:t>
    </w:r>
    <w:r>
      <w:rPr>
        <w:rFonts w:eastAsiaTheme="minorEastAsia" w:hint="eastAsia"/>
        <w:lang w:eastAsia="zh-CN"/>
      </w:rPr>
      <w:t>5</w:t>
    </w:r>
    <w:r>
      <w:t>;</w:t>
    </w:r>
    <w:r>
      <w:rPr>
        <w:rFonts w:hint="eastAsia"/>
      </w:rPr>
      <w:t>volume</w:t>
    </w:r>
    <w:proofErr w:type="gramEnd"/>
    <w:r>
      <w:rPr>
        <w:rFonts w:hint="eastAsia"/>
      </w:rPr>
      <w:t>(</w:t>
    </w:r>
    <w:r>
      <w:t>issue)</w:t>
    </w:r>
    <w:r>
      <w:ptab w:relativeTo="margin" w:alignment="right" w:leader="none"/>
    </w:r>
    <w:r w:rsidRPr="00661AA8">
      <w:fldChar w:fldCharType="begin"/>
    </w:r>
    <w:r w:rsidRPr="00661AA8">
      <w:instrText xml:space="preserve"> PAGE   \* MERGEFORMAT </w:instrText>
    </w:r>
    <w:r w:rsidRPr="00661AA8">
      <w:fldChar w:fldCharType="separate"/>
    </w:r>
    <w:r>
      <w:t>3</w:t>
    </w:r>
    <w:r w:rsidRPr="00661AA8">
      <w:fldChar w:fldCharType="end"/>
    </w:r>
  </w:p>
  <w:p w14:paraId="43D9BF60" w14:textId="77777777" w:rsidR="00E02F19" w:rsidRPr="00661AA8" w:rsidRDefault="00E02F19" w:rsidP="00640712">
    <w:pPr>
      <w:tabs>
        <w:tab w:val="left" w:pos="8335"/>
      </w:tabs>
      <w:spacing w:after="240" w:line="100" w:lineRule="atLeast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hybridMultilevel"/>
    <w:tmpl w:val="CC4E56EA"/>
    <w:lvl w:ilvl="0" w:tplc="E264CA32">
      <w:start w:val="1"/>
      <w:numFmt w:val="bullet"/>
      <w:lvlRestart w:val="0"/>
      <w:pStyle w:val="TSP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085B"/>
    <w:multiLevelType w:val="hybridMultilevel"/>
    <w:tmpl w:val="CB98231C"/>
    <w:lvl w:ilvl="0" w:tplc="664029F2">
      <w:start w:val="1"/>
      <w:numFmt w:val="decimal"/>
      <w:lvlRestart w:val="0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12E46"/>
    <w:multiLevelType w:val="hybridMultilevel"/>
    <w:tmpl w:val="88C2FAD8"/>
    <w:lvl w:ilvl="0" w:tplc="5C06B1C6">
      <w:start w:val="1"/>
      <w:numFmt w:val="decimal"/>
      <w:pStyle w:val="TSP71References"/>
      <w:lvlText w:val="%1."/>
      <w:lvlJc w:val="left"/>
      <w:pPr>
        <w:ind w:left="360" w:hanging="360"/>
      </w:pPr>
      <w:rPr>
        <w:rFonts w:hint="eastAsia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11A3B"/>
    <w:multiLevelType w:val="hybridMultilevel"/>
    <w:tmpl w:val="9EF4A612"/>
    <w:lvl w:ilvl="0" w:tplc="BED0D818">
      <w:start w:val="1"/>
      <w:numFmt w:val="decimal"/>
      <w:lvlRestart w:val="0"/>
      <w:pStyle w:val="TSP37itemize"/>
      <w:lvlText w:val="%1."/>
      <w:lvlJc w:val="left"/>
      <w:pPr>
        <w:tabs>
          <w:tab w:val="num" w:pos="0"/>
        </w:tabs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777678276">
    <w:abstractNumId w:val="3"/>
  </w:num>
  <w:num w:numId="2" w16cid:durableId="889414082">
    <w:abstractNumId w:val="0"/>
  </w:num>
  <w:num w:numId="3" w16cid:durableId="427427834">
    <w:abstractNumId w:val="1"/>
  </w:num>
  <w:num w:numId="4" w16cid:durableId="997921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19"/>
    <w:rsid w:val="000018C7"/>
    <w:rsid w:val="00282348"/>
    <w:rsid w:val="002F333B"/>
    <w:rsid w:val="003769EC"/>
    <w:rsid w:val="00455F4C"/>
    <w:rsid w:val="00754991"/>
    <w:rsid w:val="008A1EF6"/>
    <w:rsid w:val="00A21CFC"/>
    <w:rsid w:val="00B663D4"/>
    <w:rsid w:val="00C23ACB"/>
    <w:rsid w:val="00E02F19"/>
    <w:rsid w:val="00ED1BC4"/>
    <w:rsid w:val="00FD5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A67DADC"/>
  <w15:chartTrackingRefBased/>
  <w15:docId w15:val="{AD30B2D5-48D5-4DBC-A33A-46DF7D746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E02F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2F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2F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2F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2F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2F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2F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2F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2F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SP11articletype">
    <w:name w:val="TSP_1.1_article_type"/>
    <w:next w:val="Normal"/>
    <w:qFormat/>
    <w:rsid w:val="00C23ACB"/>
    <w:pPr>
      <w:adjustRightInd w:val="0"/>
      <w:snapToGrid w:val="0"/>
      <w:spacing w:before="240" w:after="0" w:line="240" w:lineRule="atLeast"/>
    </w:pPr>
    <w:rPr>
      <w:rFonts w:ascii="Minion Pro" w:eastAsia="Times New Roman" w:hAnsi="Minion Pro" w:cs="Times New Roman"/>
      <w:b/>
      <w:caps/>
      <w:snapToGrid w:val="0"/>
      <w:color w:val="000000"/>
      <w:kern w:val="0"/>
      <w:sz w:val="18"/>
      <w:u w:val="single"/>
      <w:lang w:eastAsia="de-DE" w:bidi="en-US"/>
      <w14:ligatures w14:val="none"/>
    </w:rPr>
  </w:style>
  <w:style w:type="paragraph" w:customStyle="1" w:styleId="TSP110doinum">
    <w:name w:val="TSP_1.10_doinum"/>
    <w:basedOn w:val="Normal"/>
    <w:qFormat/>
    <w:rsid w:val="00C23ACB"/>
    <w:pPr>
      <w:widowControl/>
      <w:spacing w:after="240" w:line="60" w:lineRule="atLeast"/>
      <w:jc w:val="left"/>
    </w:pPr>
    <w:rPr>
      <w:rFonts w:ascii="Minion Pro" w:hAnsi="Minion Pro" w:cs="Times New Roman"/>
      <w:color w:val="000000"/>
      <w:sz w:val="14"/>
      <w:szCs w:val="20"/>
    </w:rPr>
  </w:style>
  <w:style w:type="paragraph" w:customStyle="1" w:styleId="TSP12title">
    <w:name w:val="TSP_1.2_title"/>
    <w:next w:val="Normal"/>
    <w:qFormat/>
    <w:rsid w:val="00C23ACB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TSP13authornames">
    <w:name w:val="TSP_1.3_authornames"/>
    <w:next w:val="Normal"/>
    <w:qFormat/>
    <w:rsid w:val="00C23ACB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color w:val="000000"/>
      <w:kern w:val="0"/>
      <w:lang w:eastAsia="de-DE" w:bidi="en-US"/>
      <w14:ligatures w14:val="none"/>
    </w:rPr>
  </w:style>
  <w:style w:type="paragraph" w:customStyle="1" w:styleId="TSP14history">
    <w:name w:val="TSP_1.4_history"/>
    <w:basedOn w:val="Normal"/>
    <w:next w:val="Normal"/>
    <w:autoRedefine/>
    <w:qFormat/>
    <w:rsid w:val="00C23ACB"/>
    <w:pPr>
      <w:widowControl/>
      <w:adjustRightInd w:val="0"/>
      <w:snapToGrid w:val="0"/>
      <w:spacing w:before="60" w:after="240" w:line="240" w:lineRule="atLeast"/>
      <w:jc w:val="left"/>
    </w:pPr>
    <w:rPr>
      <w:rFonts w:ascii="Minion Pro" w:eastAsia="Times New Roman" w:hAnsi="Minion Pro" w:cs="Times New Roman"/>
      <w:color w:val="000000"/>
      <w:kern w:val="0"/>
      <w:sz w:val="18"/>
      <w:szCs w:val="20"/>
      <w:lang w:eastAsia="de-DE" w:bidi="en-US"/>
      <w14:ligatures w14:val="none"/>
    </w:rPr>
  </w:style>
  <w:style w:type="paragraph" w:customStyle="1" w:styleId="TSP15academiceditor">
    <w:name w:val="TSP_1.5_academic_editor"/>
    <w:qFormat/>
    <w:rsid w:val="00C23ACB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color w:val="000000"/>
      <w:kern w:val="0"/>
      <w:sz w:val="18"/>
      <w:lang w:eastAsia="de-DE" w:bidi="en-US"/>
      <w14:ligatures w14:val="none"/>
    </w:rPr>
  </w:style>
  <w:style w:type="paragraph" w:customStyle="1" w:styleId="TSP16affiliation">
    <w:name w:val="TSP_1.6_affiliation"/>
    <w:qFormat/>
    <w:rsid w:val="00C23ACB"/>
    <w:pPr>
      <w:adjustRightInd w:val="0"/>
      <w:snapToGrid w:val="0"/>
      <w:spacing w:after="0" w:line="240" w:lineRule="atLeast"/>
      <w:ind w:left="57" w:hanging="57"/>
    </w:pPr>
    <w:rPr>
      <w:rFonts w:ascii="Minion Pro" w:eastAsia="Times New Roman" w:hAnsi="Minion Pro" w:cs="Times New Roman"/>
      <w:color w:val="000000"/>
      <w:kern w:val="0"/>
      <w:sz w:val="18"/>
      <w:szCs w:val="18"/>
      <w:lang w:eastAsia="de-DE" w:bidi="en-US"/>
      <w14:ligatures w14:val="none"/>
    </w:rPr>
  </w:style>
  <w:style w:type="paragraph" w:customStyle="1" w:styleId="TSP17abstract">
    <w:name w:val="TSP_1.7_abstract"/>
    <w:next w:val="Normal"/>
    <w:qFormat/>
    <w:rsid w:val="00C23ACB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lang w:eastAsia="de-DE" w:bidi="en-US"/>
      <w14:ligatures w14:val="none"/>
    </w:rPr>
  </w:style>
  <w:style w:type="paragraph" w:customStyle="1" w:styleId="TSP18keywords">
    <w:name w:val="TSP_1.8_keywords"/>
    <w:next w:val="Normal"/>
    <w:qFormat/>
    <w:rsid w:val="00C23ACB"/>
    <w:pPr>
      <w:adjustRightInd w:val="0"/>
      <w:snapToGrid w:val="0"/>
      <w:spacing w:before="240" w:after="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lang w:eastAsia="de-DE" w:bidi="en-US"/>
      <w14:ligatures w14:val="none"/>
    </w:rPr>
  </w:style>
  <w:style w:type="paragraph" w:customStyle="1" w:styleId="TSP19classification">
    <w:name w:val="TSP_1.9_classification"/>
    <w:qFormat/>
    <w:rsid w:val="00C23ACB"/>
    <w:pPr>
      <w:spacing w:before="240" w:after="0" w:line="240" w:lineRule="atLeast"/>
      <w:jc w:val="both"/>
    </w:pPr>
    <w:rPr>
      <w:rFonts w:ascii="Minion Pro" w:eastAsia="Times New Roman" w:hAnsi="Minion Pro" w:cs="Times New Roman"/>
      <w:b/>
      <w:color w:val="000000"/>
      <w:kern w:val="0"/>
      <w:sz w:val="20"/>
      <w:lang w:eastAsia="de-DE" w:bidi="en-US"/>
      <w14:ligatures w14:val="none"/>
    </w:rPr>
  </w:style>
  <w:style w:type="paragraph" w:customStyle="1" w:styleId="TSP19line">
    <w:name w:val="TSP_1.9_line"/>
    <w:qFormat/>
    <w:rsid w:val="00C23ACB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4"/>
      <w:lang w:eastAsia="de-DE" w:bidi="en-US"/>
      <w14:ligatures w14:val="none"/>
    </w:rPr>
  </w:style>
  <w:style w:type="paragraph" w:customStyle="1" w:styleId="TSP21heading1">
    <w:name w:val="TSP_2.1_heading1"/>
    <w:qFormat/>
    <w:rsid w:val="00C23ACB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kern w:val="0"/>
      <w:lang w:eastAsia="de-DE" w:bidi="en-US"/>
      <w14:ligatures w14:val="none"/>
    </w:rPr>
  </w:style>
  <w:style w:type="paragraph" w:customStyle="1" w:styleId="TSP22heading2">
    <w:name w:val="TSP_2.2_heading2"/>
    <w:qFormat/>
    <w:rsid w:val="00C23ACB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 w:cs="Times New Roman"/>
      <w:b/>
      <w:i/>
      <w:noProof/>
      <w:snapToGrid w:val="0"/>
      <w:color w:val="000000"/>
      <w:kern w:val="0"/>
      <w:lang w:eastAsia="de-DE" w:bidi="en-US"/>
      <w14:ligatures w14:val="none"/>
    </w:rPr>
  </w:style>
  <w:style w:type="paragraph" w:customStyle="1" w:styleId="TSP23heading3">
    <w:name w:val="TSP_2.3_heading3"/>
    <w:qFormat/>
    <w:rsid w:val="00C23ACB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 w:cs="Times New Roman"/>
      <w:i/>
      <w:snapToGrid w:val="0"/>
      <w:color w:val="000000"/>
      <w:kern w:val="0"/>
      <w:lang w:eastAsia="de-DE" w:bidi="en-US"/>
      <w14:ligatures w14:val="none"/>
    </w:rPr>
  </w:style>
  <w:style w:type="paragraph" w:customStyle="1" w:styleId="TSP31text">
    <w:name w:val="TSP_3.1_text"/>
    <w:qFormat/>
    <w:rsid w:val="00C23ACB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lang w:eastAsia="de-DE" w:bidi="en-US"/>
      <w14:ligatures w14:val="none"/>
    </w:rPr>
  </w:style>
  <w:style w:type="paragraph" w:customStyle="1" w:styleId="TSP32textnoindent">
    <w:name w:val="TSP_3.2_text_no_indent"/>
    <w:basedOn w:val="TSP31text"/>
    <w:qFormat/>
    <w:rsid w:val="00C23ACB"/>
    <w:pPr>
      <w:ind w:firstLine="0"/>
    </w:pPr>
  </w:style>
  <w:style w:type="paragraph" w:customStyle="1" w:styleId="TSP33textspaceafter">
    <w:name w:val="TSP_3.3_text_space_after"/>
    <w:qFormat/>
    <w:rsid w:val="00C23ACB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lang w:eastAsia="de-DE" w:bidi="en-US"/>
      <w14:ligatures w14:val="none"/>
    </w:rPr>
  </w:style>
  <w:style w:type="paragraph" w:customStyle="1" w:styleId="TSP34textspacebefore">
    <w:name w:val="TSP_3.4_text_space_before"/>
    <w:qFormat/>
    <w:rsid w:val="00C23ACB"/>
    <w:pPr>
      <w:adjustRightInd w:val="0"/>
      <w:snapToGrid w:val="0"/>
      <w:spacing w:before="24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lang w:eastAsia="de-DE" w:bidi="en-US"/>
      <w14:ligatures w14:val="none"/>
    </w:rPr>
  </w:style>
  <w:style w:type="paragraph" w:customStyle="1" w:styleId="TSP35textbeforelist">
    <w:name w:val="TSP_3.5_text_before_list"/>
    <w:qFormat/>
    <w:rsid w:val="00C23ACB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lang w:eastAsia="de-DE" w:bidi="en-US"/>
      <w14:ligatures w14:val="none"/>
    </w:rPr>
  </w:style>
  <w:style w:type="paragraph" w:customStyle="1" w:styleId="TSP36textafterlist">
    <w:name w:val="TSP_3.6_text_after_list"/>
    <w:qFormat/>
    <w:rsid w:val="00C23ACB"/>
    <w:pPr>
      <w:adjustRightInd w:val="0"/>
      <w:snapToGrid w:val="0"/>
      <w:spacing w:before="6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lang w:eastAsia="de-DE" w:bidi="en-US"/>
      <w14:ligatures w14:val="none"/>
    </w:rPr>
  </w:style>
  <w:style w:type="paragraph" w:customStyle="1" w:styleId="TSP37itemize">
    <w:name w:val="TSP_3.7_itemize"/>
    <w:qFormat/>
    <w:rsid w:val="00C23ACB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lang w:eastAsia="de-DE" w:bidi="en-US"/>
      <w14:ligatures w14:val="none"/>
    </w:rPr>
  </w:style>
  <w:style w:type="paragraph" w:customStyle="1" w:styleId="TSP38bullet">
    <w:name w:val="TSP_3.8_bullet"/>
    <w:qFormat/>
    <w:rsid w:val="00C23ACB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lang w:eastAsia="de-DE" w:bidi="en-US"/>
      <w14:ligatures w14:val="none"/>
    </w:rPr>
  </w:style>
  <w:style w:type="paragraph" w:customStyle="1" w:styleId="TSP39equation">
    <w:name w:val="TSP_3.9_equation"/>
    <w:qFormat/>
    <w:rsid w:val="00C23ACB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snapToGrid w:val="0"/>
      <w:color w:val="000000"/>
      <w:kern w:val="0"/>
      <w:lang w:eastAsia="de-DE" w:bidi="en-US"/>
      <w14:ligatures w14:val="none"/>
    </w:rPr>
  </w:style>
  <w:style w:type="paragraph" w:customStyle="1" w:styleId="TSP3aequationnumber">
    <w:name w:val="TSP_3.a_equation_number"/>
    <w:qFormat/>
    <w:rsid w:val="00C23ACB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kern w:val="0"/>
      <w:lang w:eastAsia="de-DE" w:bidi="en-US"/>
      <w14:ligatures w14:val="none"/>
    </w:rPr>
  </w:style>
  <w:style w:type="paragraph" w:customStyle="1" w:styleId="TSP411onetablecaption">
    <w:name w:val="TSP_4.1.1_one_table_caption"/>
    <w:qFormat/>
    <w:rsid w:val="00C23ACB"/>
    <w:pPr>
      <w:adjustRightInd w:val="0"/>
      <w:snapToGrid w:val="0"/>
      <w:spacing w:before="240" w:after="120" w:line="240" w:lineRule="atLeast"/>
      <w:jc w:val="center"/>
    </w:pPr>
    <w:rPr>
      <w:rFonts w:ascii="Minion Pro" w:eastAsia="宋体" w:hAnsi="Minion Pro" w:cs="Cordia New"/>
      <w:noProof/>
      <w:color w:val="000000"/>
      <w:kern w:val="0"/>
      <w:sz w:val="20"/>
      <w:lang w:bidi="en-US"/>
      <w14:ligatures w14:val="none"/>
    </w:rPr>
  </w:style>
  <w:style w:type="paragraph" w:customStyle="1" w:styleId="TSP41tablecaption">
    <w:name w:val="TSP_4.1_table_caption"/>
    <w:qFormat/>
    <w:rsid w:val="00C23ACB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lang w:eastAsia="de-DE" w:bidi="en-US"/>
      <w14:ligatures w14:val="none"/>
    </w:rPr>
  </w:style>
  <w:style w:type="paragraph" w:customStyle="1" w:styleId="TSP42tablebody">
    <w:name w:val="TSP_4.2_table_body"/>
    <w:qFormat/>
    <w:rsid w:val="00C23ACB"/>
    <w:pPr>
      <w:adjustRightInd w:val="0"/>
      <w:snapToGrid w:val="0"/>
      <w:spacing w:after="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43tablefooter">
    <w:name w:val="TSP_4.3_table_footer"/>
    <w:next w:val="TSP31text"/>
    <w:qFormat/>
    <w:rsid w:val="00C23ACB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lang w:eastAsia="de-DE" w:bidi="en-US"/>
      <w14:ligatures w14:val="none"/>
    </w:rPr>
  </w:style>
  <w:style w:type="paragraph" w:customStyle="1" w:styleId="TSP511onefigurecaption">
    <w:name w:val="TSP_5.1.1_one_figure_caption"/>
    <w:qFormat/>
    <w:rsid w:val="00C23ACB"/>
    <w:pPr>
      <w:adjustRightInd w:val="0"/>
      <w:snapToGrid w:val="0"/>
      <w:spacing w:before="120" w:after="240" w:line="240" w:lineRule="atLeast"/>
      <w:jc w:val="center"/>
    </w:pPr>
    <w:rPr>
      <w:rFonts w:ascii="Minion Pro" w:eastAsia="宋体" w:hAnsi="Minion Pro" w:cs="Times New Roman"/>
      <w:noProof/>
      <w:color w:val="000000"/>
      <w:kern w:val="0"/>
      <w:sz w:val="20"/>
      <w:szCs w:val="20"/>
      <w:lang w:bidi="en-US"/>
      <w14:ligatures w14:val="none"/>
    </w:rPr>
  </w:style>
  <w:style w:type="paragraph" w:customStyle="1" w:styleId="TSP51figurecaption">
    <w:name w:val="TSP_5.1_figure_caption"/>
    <w:qFormat/>
    <w:rsid w:val="00C23ACB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52figure">
    <w:name w:val="TSP_5.2_figure"/>
    <w:qFormat/>
    <w:rsid w:val="00C23ACB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61Citation">
    <w:name w:val="TSP_6.1_Citation"/>
    <w:qFormat/>
    <w:rsid w:val="00C23ACB"/>
    <w:pPr>
      <w:adjustRightInd w:val="0"/>
      <w:snapToGrid w:val="0"/>
      <w:spacing w:after="0" w:line="240" w:lineRule="atLeast"/>
    </w:pPr>
    <w:rPr>
      <w:rFonts w:ascii="Minion Pro" w:eastAsia="宋体" w:hAnsi="Minion Pro" w:cs="Cordia New"/>
      <w:kern w:val="0"/>
      <w14:ligatures w14:val="none"/>
    </w:rPr>
  </w:style>
  <w:style w:type="paragraph" w:customStyle="1" w:styleId="TSP62BackMatter">
    <w:name w:val="TSP_6.2_BackMatter"/>
    <w:qFormat/>
    <w:rsid w:val="00C23ACB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en-US" w:bidi="en-US"/>
      <w14:ligatures w14:val="none"/>
    </w:rPr>
  </w:style>
  <w:style w:type="paragraph" w:customStyle="1" w:styleId="TSP63Notes">
    <w:name w:val="TSP_6.3_Notes"/>
    <w:qFormat/>
    <w:rsid w:val="00C23ACB"/>
    <w:pPr>
      <w:adjustRightInd w:val="0"/>
      <w:snapToGrid w:val="0"/>
      <w:spacing w:before="60" w:after="60" w:line="228" w:lineRule="auto"/>
      <w:jc w:val="both"/>
    </w:pPr>
    <w:rPr>
      <w:rFonts w:ascii="Minion Pro" w:eastAsia="宋体" w:hAnsi="Minion Pro" w:cs="Times New Roman"/>
      <w:snapToGrid w:val="0"/>
      <w:color w:val="000000"/>
      <w:kern w:val="0"/>
      <w:sz w:val="18"/>
      <w:szCs w:val="20"/>
      <w:lang w:eastAsia="en-US" w:bidi="en-US"/>
      <w14:ligatures w14:val="none"/>
    </w:rPr>
  </w:style>
  <w:style w:type="paragraph" w:customStyle="1" w:styleId="TSP71FootNotes">
    <w:name w:val="TSP_7.1_FootNotes"/>
    <w:qFormat/>
    <w:rsid w:val="00C23ACB"/>
    <w:pPr>
      <w:numPr>
        <w:numId w:val="3"/>
      </w:num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noProof/>
      <w:color w:val="000000"/>
      <w:kern w:val="0"/>
      <w:sz w:val="18"/>
      <w:szCs w:val="20"/>
      <w14:ligatures w14:val="none"/>
    </w:rPr>
  </w:style>
  <w:style w:type="paragraph" w:customStyle="1" w:styleId="TSP71References">
    <w:name w:val="TSP_7.1_References"/>
    <w:qFormat/>
    <w:rsid w:val="00C23ACB"/>
    <w:pPr>
      <w:numPr>
        <w:numId w:val="4"/>
      </w:numPr>
      <w:adjustRightInd w:val="0"/>
      <w:snapToGrid w:val="0"/>
      <w:spacing w:after="0" w:line="228" w:lineRule="auto"/>
      <w:jc w:val="both"/>
    </w:pPr>
    <w:rPr>
      <w:rFonts w:ascii="Minion Pro" w:eastAsia="等线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72Copyright">
    <w:name w:val="TSP_7.2_Copyright"/>
    <w:qFormat/>
    <w:rsid w:val="00C23ACB"/>
    <w:pPr>
      <w:adjustRightInd w:val="0"/>
      <w:snapToGrid w:val="0"/>
      <w:spacing w:after="0" w:line="192" w:lineRule="auto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18"/>
      <w:szCs w:val="20"/>
      <w:lang w:val="en-GB" w:eastAsia="en-GB"/>
      <w14:ligatures w14:val="none"/>
    </w:rPr>
  </w:style>
  <w:style w:type="paragraph" w:customStyle="1" w:styleId="TSP73CopyrightImage">
    <w:name w:val="TSP_7.3_CopyrightImage"/>
    <w:qFormat/>
    <w:rsid w:val="00C23ACB"/>
    <w:pPr>
      <w:adjustRightInd w:val="0"/>
      <w:snapToGrid w:val="0"/>
      <w:spacing w:before="20" w:after="0" w:line="228" w:lineRule="auto"/>
    </w:pPr>
    <w:rPr>
      <w:rFonts w:ascii="Minion Pro" w:eastAsia="Times New Roman" w:hAnsi="Minion Pro" w:cs="Times New Roman"/>
      <w:color w:val="000000"/>
      <w:kern w:val="0"/>
      <w:sz w:val="18"/>
      <w:szCs w:val="20"/>
      <w:lang w:eastAsia="de-CH"/>
      <w14:ligatures w14:val="none"/>
    </w:rPr>
  </w:style>
  <w:style w:type="paragraph" w:customStyle="1" w:styleId="TSP81theorem">
    <w:name w:val="TSP_8.1_theorem"/>
    <w:qFormat/>
    <w:rsid w:val="00C23ACB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i/>
      <w:snapToGrid w:val="0"/>
      <w:color w:val="000000"/>
      <w:kern w:val="0"/>
      <w:lang w:eastAsia="de-DE" w:bidi="en-US"/>
      <w14:ligatures w14:val="none"/>
    </w:rPr>
  </w:style>
  <w:style w:type="paragraph" w:customStyle="1" w:styleId="TSP82proof">
    <w:name w:val="TSP_8.2_proof"/>
    <w:qFormat/>
    <w:rsid w:val="00C23ACB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lang w:eastAsia="de-DE" w:bidi="en-US"/>
      <w14:ligatures w14:val="none"/>
    </w:rPr>
  </w:style>
  <w:style w:type="paragraph" w:customStyle="1" w:styleId="TSPequationFram">
    <w:name w:val="TSP_equationFram"/>
    <w:qFormat/>
    <w:rsid w:val="00C23ACB"/>
    <w:pPr>
      <w:adjustRightInd w:val="0"/>
      <w:snapToGrid w:val="0"/>
      <w:spacing w:before="120" w:after="120" w:line="240" w:lineRule="auto"/>
    </w:pPr>
    <w:rPr>
      <w:rFonts w:ascii="Minion Pro" w:eastAsia="Times New Roman" w:hAnsi="Minion Pro" w:cs="Times New Roman"/>
      <w:snapToGrid w:val="0"/>
      <w:color w:val="000000"/>
      <w:kern w:val="0"/>
      <w:lang w:eastAsia="de-DE" w:bidi="en-US"/>
      <w14:ligatures w14:val="none"/>
    </w:rPr>
  </w:style>
  <w:style w:type="paragraph" w:customStyle="1" w:styleId="TSPfooter">
    <w:name w:val="TSP_footer"/>
    <w:qFormat/>
    <w:rsid w:val="00C23ACB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footerfirstpage">
    <w:name w:val="TSP_footer_firstpage"/>
    <w:qFormat/>
    <w:rsid w:val="00C23ACB"/>
    <w:pPr>
      <w:tabs>
        <w:tab w:val="right" w:pos="8845"/>
      </w:tabs>
      <w:suppressAutoHyphens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">
    <w:name w:val="TSP_header"/>
    <w:qFormat/>
    <w:rsid w:val="00C23ACB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iCs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citation">
    <w:name w:val="TSP_header_citation"/>
    <w:qFormat/>
    <w:rsid w:val="00C23ACB"/>
    <w:pPr>
      <w:spacing w:after="0" w:line="228" w:lineRule="auto"/>
    </w:pPr>
    <w:rPr>
      <w:rFonts w:ascii="Minion Pro" w:eastAsia="Times New Roman" w:hAnsi="Minion Pro" w:cs="Times New Roman"/>
      <w:snapToGrid w:val="0"/>
      <w:color w:val="000000"/>
      <w:kern w:val="0"/>
      <w:sz w:val="16"/>
      <w:szCs w:val="20"/>
      <w:lang w:eastAsia="de-DE" w:bidi="en-US"/>
      <w14:ligatures w14:val="none"/>
    </w:rPr>
  </w:style>
  <w:style w:type="paragraph" w:customStyle="1" w:styleId="TSPheaderjournallogo">
    <w:name w:val="TSP_header_journal_logo"/>
    <w:qFormat/>
    <w:rsid w:val="00C23ACB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lang w:eastAsia="de-CH"/>
      <w14:ligatures w14:val="none"/>
    </w:rPr>
  </w:style>
  <w:style w:type="paragraph" w:customStyle="1" w:styleId="TSPheadertsplogo">
    <w:name w:val="TSP_header_tsp_logo"/>
    <w:qFormat/>
    <w:rsid w:val="00C23ACB"/>
    <w:pPr>
      <w:adjustRightInd w:val="0"/>
      <w:snapToGrid w:val="0"/>
      <w:spacing w:after="0" w:line="240" w:lineRule="atLeast"/>
      <w:jc w:val="right"/>
    </w:pPr>
    <w:rPr>
      <w:rFonts w:ascii="Minion Pro" w:eastAsia="Times New Roman" w:hAnsi="Minion Pro" w:cs="Times New Roman"/>
      <w:color w:val="000000"/>
      <w:kern w:val="0"/>
      <w:lang w:eastAsia="de-CH"/>
      <w14:ligatures w14:val="none"/>
    </w:rPr>
  </w:style>
  <w:style w:type="paragraph" w:customStyle="1" w:styleId="TSPtext">
    <w:name w:val="TSP_text"/>
    <w:qFormat/>
    <w:rsid w:val="00C23ACB"/>
    <w:pPr>
      <w:snapToGrid w:val="0"/>
      <w:spacing w:after="0" w:line="240" w:lineRule="atLeast"/>
      <w:ind w:firstLine="425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lang w:eastAsia="de-DE" w:bidi="en-US"/>
      <w14:ligatures w14:val="none"/>
    </w:rPr>
  </w:style>
  <w:style w:type="paragraph" w:customStyle="1" w:styleId="TSPtitle">
    <w:name w:val="TSP_title"/>
    <w:qFormat/>
    <w:rsid w:val="00C23ACB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E02F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2F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2F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2F1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2F1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2F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2F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2F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2F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2F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2F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2F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2F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2F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2F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2F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2F1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2F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2F1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2F19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qFormat/>
    <w:rsid w:val="00E02F19"/>
    <w:pPr>
      <w:widowControl/>
      <w:tabs>
        <w:tab w:val="center" w:pos="4153"/>
        <w:tab w:val="right" w:pos="8306"/>
      </w:tabs>
      <w:snapToGrid w:val="0"/>
      <w:spacing w:after="0" w:line="240" w:lineRule="atLeast"/>
      <w:jc w:val="left"/>
    </w:pPr>
    <w:rPr>
      <w:rFonts w:ascii="Minion Pro" w:eastAsia="宋体" w:hAnsi="Minion Pro" w:cs="Times New Roman"/>
      <w:noProof/>
      <w:color w:val="000000"/>
      <w:kern w:val="0"/>
      <w:sz w:val="20"/>
      <w:szCs w:val="18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E02F19"/>
    <w:rPr>
      <w:rFonts w:ascii="Minion Pro" w:eastAsia="宋体" w:hAnsi="Minion Pro" w:cs="Times New Roman"/>
      <w:noProof/>
      <w:color w:val="000000"/>
      <w:kern w:val="0"/>
      <w:sz w:val="20"/>
      <w:szCs w:val="18"/>
      <w14:ligatures w14:val="none"/>
    </w:rPr>
  </w:style>
  <w:style w:type="paragraph" w:styleId="Header">
    <w:name w:val="header"/>
    <w:basedOn w:val="Normal"/>
    <w:link w:val="HeaderChar"/>
    <w:uiPriority w:val="99"/>
    <w:qFormat/>
    <w:rsid w:val="00E02F19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tLeast"/>
      <w:jc w:val="center"/>
    </w:pPr>
    <w:rPr>
      <w:rFonts w:ascii="Minion Pro" w:eastAsia="宋体" w:hAnsi="Minion Pro" w:cs="Times New Roman"/>
      <w:noProof/>
      <w:color w:val="000000"/>
      <w:kern w:val="0"/>
      <w:sz w:val="20"/>
      <w:szCs w:val="18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E02F19"/>
    <w:rPr>
      <w:rFonts w:ascii="Minion Pro" w:eastAsia="宋体" w:hAnsi="Minion Pro" w:cs="Times New Roman"/>
      <w:noProof/>
      <w:color w:val="000000"/>
      <w:kern w:val="0"/>
      <w:sz w:val="20"/>
      <w:szCs w:val="18"/>
      <w14:ligatures w14:val="none"/>
    </w:rPr>
  </w:style>
  <w:style w:type="table" w:styleId="TableGrid">
    <w:name w:val="Table Grid"/>
    <w:basedOn w:val="TableNormal"/>
    <w:uiPriority w:val="39"/>
    <w:qFormat/>
    <w:rsid w:val="00E02F19"/>
    <w:pPr>
      <w:spacing w:after="0" w:line="260" w:lineRule="atLeast"/>
      <w:jc w:val="both"/>
    </w:pPr>
    <w:rPr>
      <w:rFonts w:ascii="Minion Pro" w:eastAsia="宋体" w:hAnsi="Minion Pro" w:cs="Times New Roman"/>
      <w:color w:val="000000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qFormat/>
    <w:rsid w:val="00E02F19"/>
    <w:pPr>
      <w:widowControl/>
      <w:spacing w:after="0" w:line="260" w:lineRule="atLeast"/>
    </w:pPr>
    <w:rPr>
      <w:rFonts w:ascii="Minion Pro" w:eastAsia="宋体" w:hAnsi="Minion Pro" w:cs="Times New Roman"/>
      <w:noProof/>
      <w:color w:val="000000"/>
      <w:kern w:val="0"/>
      <w:sz w:val="20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455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5F4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5F4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5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5F4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 Science Press</dc:creator>
  <cp:keywords/>
  <dc:description/>
  <cp:lastModifiedBy>Production Team</cp:lastModifiedBy>
  <cp:revision>3</cp:revision>
  <dcterms:created xsi:type="dcterms:W3CDTF">2025-11-04T07:22:00Z</dcterms:created>
  <dcterms:modified xsi:type="dcterms:W3CDTF">2026-08-04T01:03:00Z</dcterms:modified>
</cp:coreProperties>
</file>